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comments.xml" ContentType="application/vnd.openxmlformats-officedocument.wordprocessingml.comments+xml"/>
  <Override PartName="/word/footer4.xml" ContentType="application/vnd.openxmlformats-officedocument.wordprocessingml.footer+xml"/>
  <Override PartName="/word/media/image17.jpeg" ContentType="image/jpeg"/>
  <Override PartName="/word/media/image3.png" ContentType="image/png"/>
  <Override PartName="/word/media/image1.jpeg" ContentType="image/jpeg"/>
  <Override PartName="/word/media/image2.png" ContentType="image/png"/>
  <Override PartName="/word/media/image4.jpeg" ContentType="image/jpe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9.png" ContentType="image/png"/>
  <Override PartName="/word/media/image13.jpeg" ContentType="image/jpeg"/>
  <Override PartName="/word/media/image14.png" ContentType="image/png"/>
  <Override PartName="/word/media/image15.jpeg" ContentType="image/jpeg"/>
  <Override PartName="/word/media/image16.jpeg" ContentType="image/jpeg"/>
  <Override PartName="/word/media/image18.png" ContentType="image/png"/>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_rels/chart1.xml.rels" ContentType="application/vnd.openxmlformats-package.relationships+xml"/>
  <Override PartName="/word/footer13.xml" ContentType="application/vnd.openxmlformats-officedocument.wordprocessingml.footer+xml"/>
  <Override PartName="/word/numbering.xml" ContentType="application/vnd.openxmlformats-officedocument.wordprocessingml.numbering+xml"/>
  <Override PartName="/word/footer14.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_____Microsoft_Office_Excel1.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cs="Arial"/>
          <w:szCs w:val="26"/>
        </w:rPr>
      </w:pPr>
      <w:r>
        <w:rPr/>
        <w:drawing>
          <wp:inline distT="0" distB="0" distL="0" distR="0">
            <wp:extent cx="438150" cy="685800"/>
            <wp:effectExtent l="0" t="0" r="0" b="0"/>
            <wp:docPr id="1" name="Рисунок 2" descr="uvat-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uvat-B (3)"/>
                    <pic:cNvPicPr>
                      <a:picLocks noChangeAspect="1" noChangeArrowheads="1"/>
                    </pic:cNvPicPr>
                  </pic:nvPicPr>
                  <pic:blipFill>
                    <a:blip r:embed="rId2"/>
                    <a:stretch>
                      <a:fillRect/>
                    </a:stretch>
                  </pic:blipFill>
                  <pic:spPr bwMode="auto">
                    <a:xfrm>
                      <a:off x="0" y="0"/>
                      <a:ext cx="438150" cy="685800"/>
                    </a:xfrm>
                    <a:prstGeom prst="rect">
                      <a:avLst/>
                    </a:prstGeom>
                  </pic:spPr>
                </pic:pic>
              </a:graphicData>
            </a:graphic>
          </wp:inline>
        </w:drawing>
      </w:r>
    </w:p>
    <w:p>
      <w:pPr>
        <w:pStyle w:val="Normal"/>
        <w:jc w:val="center"/>
        <w:rPr>
          <w:rFonts w:cs="Arial"/>
          <w:b/>
          <w:b/>
          <w:caps/>
          <w:spacing w:val="30"/>
          <w:sz w:val="32"/>
          <w:szCs w:val="32"/>
          <w:lang w:val="ru-RU"/>
        </w:rPr>
      </w:pPr>
      <w:r>
        <w:rPr>
          <w:rFonts w:cs="Arial"/>
          <w:b/>
          <w:caps/>
          <w:spacing w:val="30"/>
          <w:sz w:val="32"/>
          <w:szCs w:val="32"/>
          <w:lang w:val="ru-RU"/>
        </w:rPr>
        <w:t xml:space="preserve">Администрация </w:t>
        <w:br/>
        <w:t>Уватского муниципального района</w:t>
      </w:r>
    </w:p>
    <w:p>
      <w:pPr>
        <w:pStyle w:val="Normal"/>
        <w:spacing w:before="240" w:after="0"/>
        <w:jc w:val="center"/>
        <w:rPr>
          <w:lang w:val="ru-RU"/>
        </w:rPr>
      </w:pPr>
      <w:r>
        <w:rPr>
          <w:rFonts w:cs="Arial"/>
          <w:b/>
          <w:caps/>
          <w:spacing w:val="30"/>
          <w:sz w:val="32"/>
          <w:szCs w:val="36"/>
          <w:lang w:val="ru-RU"/>
        </w:rPr>
        <w:t>Постановление</w:t>
      </w:r>
    </w:p>
    <w:p>
      <w:pPr>
        <w:pStyle w:val="Normal"/>
        <w:tabs>
          <w:tab w:val="center" w:pos="4820" w:leader="none"/>
          <w:tab w:val="right" w:pos="9638" w:leader="none"/>
        </w:tabs>
        <w:ind w:hanging="0"/>
        <w:rPr>
          <w:rFonts w:cs="Arial"/>
          <w:szCs w:val="26"/>
          <w:lang w:val="ru-RU"/>
        </w:rPr>
      </w:pPr>
      <w:r>
        <w:rPr>
          <w:rFonts w:cs="Arial"/>
          <w:szCs w:val="26"/>
          <w:lang w:val="ru-RU"/>
        </w:rPr>
      </w:r>
    </w:p>
    <w:p>
      <w:pPr>
        <w:pStyle w:val="Normal"/>
        <w:tabs>
          <w:tab w:val="center" w:pos="4820" w:leader="none"/>
          <w:tab w:val="right" w:pos="9638" w:leader="none"/>
        </w:tabs>
        <w:ind w:hanging="0"/>
        <w:rPr>
          <w:rFonts w:cs="Arial"/>
          <w:szCs w:val="26"/>
          <w:lang w:val="ru-RU"/>
        </w:rPr>
      </w:pPr>
      <w:r>
        <w:rPr>
          <w:rFonts w:cs="Arial"/>
          <w:szCs w:val="26"/>
          <w:lang w:val="ru-RU"/>
        </w:rPr>
        <w:t>Дата постановления</w:t>
        <w:tab/>
        <w:t>с. Уват</w:t>
        <w:tab/>
        <w:t>№ Версия 1</w:t>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jc w:val="center"/>
        <w:rPr>
          <w:rFonts w:cs="Arial"/>
          <w:bCs/>
          <w:szCs w:val="26"/>
          <w:lang w:val="ru-RU" w:eastAsia="ru-RU" w:bidi="ar-SA"/>
        </w:rPr>
      </w:pPr>
      <w:r>
        <w:rPr>
          <w:rFonts w:cs="Arial"/>
          <w:bCs/>
          <w:szCs w:val="26"/>
          <w:lang w:val="ru-RU" w:eastAsia="ru-RU" w:bidi="ar-SA"/>
        </w:rPr>
        <w:t xml:space="preserve">О внесении изменений в постановление администрации </w:t>
      </w:r>
    </w:p>
    <w:p>
      <w:pPr>
        <w:pStyle w:val="Normal"/>
        <w:jc w:val="center"/>
        <w:rPr>
          <w:rFonts w:cs="Arial"/>
          <w:bCs/>
          <w:szCs w:val="26"/>
          <w:lang w:val="ru-RU" w:eastAsia="ru-RU" w:bidi="ar-SA"/>
        </w:rPr>
      </w:pPr>
      <w:r>
        <w:rPr>
          <w:rFonts w:cs="Arial"/>
          <w:bCs/>
          <w:szCs w:val="26"/>
          <w:lang w:val="ru-RU" w:eastAsia="ru-RU" w:bidi="ar-SA"/>
        </w:rPr>
        <w:t xml:space="preserve">Уватского муниципального района </w:t>
      </w:r>
      <w:r>
        <w:rPr>
          <w:rFonts w:cs="Arial"/>
          <w:szCs w:val="26"/>
          <w:lang w:val="ru-RU" w:eastAsia="ru-RU"/>
        </w:rPr>
        <w:t>от 08.06.2015 № 88</w:t>
      </w:r>
      <w:r>
        <w:rPr>
          <w:rFonts w:cs="Arial"/>
          <w:bCs/>
          <w:szCs w:val="26"/>
          <w:lang w:val="ru-RU" w:eastAsia="ru-RU" w:bidi="ar-SA"/>
        </w:rPr>
        <w:t xml:space="preserve"> «Об утверждении схемы теплоснабжения Туртасского сельского </w:t>
      </w:r>
    </w:p>
    <w:p>
      <w:pPr>
        <w:pStyle w:val="Normal"/>
        <w:jc w:val="center"/>
        <w:rPr>
          <w:rFonts w:cs="Arial"/>
          <w:bCs/>
          <w:szCs w:val="26"/>
          <w:lang w:val="ru-RU" w:eastAsia="ru-RU" w:bidi="ar-SA"/>
        </w:rPr>
      </w:pPr>
      <w:r>
        <w:rPr>
          <w:rFonts w:cs="Arial"/>
          <w:bCs/>
          <w:szCs w:val="26"/>
          <w:lang w:val="ru-RU" w:eastAsia="ru-RU" w:bidi="ar-SA"/>
        </w:rPr>
        <w:t xml:space="preserve">поселения Уватского муниципального района Тюменской </w:t>
      </w:r>
    </w:p>
    <w:p>
      <w:pPr>
        <w:pStyle w:val="Normal"/>
        <w:jc w:val="center"/>
        <w:rPr>
          <w:rFonts w:cs="Arial"/>
          <w:szCs w:val="26"/>
          <w:lang w:val="ru-RU"/>
        </w:rPr>
      </w:pPr>
      <w:r>
        <w:rPr>
          <w:rFonts w:cs="Arial"/>
          <w:bCs/>
          <w:szCs w:val="26"/>
          <w:lang w:val="ru-RU" w:eastAsia="ru-RU" w:bidi="ar-SA"/>
        </w:rPr>
        <w:t>области на период 2015-2030 гг.»</w:t>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t xml:space="preserve">В соответствии </w:t>
      </w:r>
      <w:bookmarkStart w:id="0" w:name="__DdeLink__41589_2064668951"/>
      <w:r>
        <w:rPr>
          <w:rFonts w:cs="Arial"/>
          <w:szCs w:val="26"/>
          <w:lang w:val="ru-RU"/>
        </w:rPr>
        <w:t>Федеральным законом от 06.10.2003 № 131-ФЗ «Об общих принципах организации местного самоуправления в Российской Федерации», Федеральным законом от 27.07.2010 № 190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Уставом Уватского муниципального района Тюменской области</w:t>
      </w:r>
      <w:bookmarkEnd w:id="0"/>
      <w:r>
        <w:rPr>
          <w:rFonts w:cs="Arial"/>
          <w:szCs w:val="26"/>
          <w:lang w:val="ru-RU"/>
        </w:rPr>
        <w:t>:</w:t>
      </w:r>
    </w:p>
    <w:p>
      <w:pPr>
        <w:pStyle w:val="Normal"/>
        <w:rPr>
          <w:lang w:val="ru-RU"/>
        </w:rPr>
      </w:pPr>
      <w:r>
        <w:rPr>
          <w:rFonts w:cs="Arial"/>
          <w:szCs w:val="26"/>
          <w:lang w:val="ru-RU"/>
        </w:rPr>
        <w:t>1.  Внести в п</w:t>
      </w:r>
      <w:bookmarkStart w:id="1" w:name="__DdeLink__32902_2064668951"/>
      <w:r>
        <w:rPr>
          <w:rFonts w:cs="Arial"/>
          <w:szCs w:val="26"/>
          <w:lang w:val="ru-RU"/>
        </w:rPr>
        <w:t xml:space="preserve">остановление администрации Уватского муниципального района от </w:t>
      </w:r>
      <w:r>
        <w:rPr>
          <w:rFonts w:cs="Arial"/>
          <w:szCs w:val="26"/>
          <w:lang w:val="ru-RU" w:eastAsia="ru-RU"/>
        </w:rPr>
        <w:t>08.06.2015 № 88 «Об утверждении схемы Теплоснабжения Туртасского сельского поселения Уватского муниципального района Тюменской области на период 2015-2030 гг.»</w:t>
      </w:r>
      <w:bookmarkEnd w:id="1"/>
      <w:r>
        <w:rPr>
          <w:rFonts w:cs="Arial"/>
          <w:szCs w:val="26"/>
          <w:lang w:val="ru-RU" w:eastAsia="ru-RU"/>
        </w:rPr>
        <w:t xml:space="preserve"> </w:t>
      </w:r>
      <w:r>
        <w:rPr>
          <w:rFonts w:cs="Arial"/>
          <w:szCs w:val="26"/>
          <w:lang w:val="ru-RU"/>
        </w:rPr>
        <w:t>следующее изменение:</w:t>
      </w:r>
    </w:p>
    <w:p>
      <w:pPr>
        <w:pStyle w:val="Normal"/>
        <w:rPr>
          <w:rFonts w:cs="Arial"/>
          <w:szCs w:val="26"/>
          <w:lang w:val="ru-RU"/>
        </w:rPr>
      </w:pPr>
      <w:r>
        <w:rPr>
          <w:rFonts w:cs="Arial"/>
          <w:color w:val="000000"/>
          <w:szCs w:val="26"/>
          <w:lang w:val="ru-RU"/>
        </w:rPr>
        <w:t xml:space="preserve">а) </w:t>
      </w:r>
      <w:r>
        <w:rPr>
          <w:rFonts w:cs="Arial"/>
          <w:szCs w:val="26"/>
          <w:lang w:val="ru-RU"/>
        </w:rPr>
        <w:t xml:space="preserve">приложение </w:t>
      </w:r>
      <w:commentRangeStart w:id="0"/>
      <w:r>
        <w:rPr>
          <w:rFonts w:cs="Arial"/>
          <w:szCs w:val="26"/>
          <w:lang w:val="ru-RU"/>
        </w:rPr>
        <w:t>№ 1</w:t>
      </w:r>
      <w:r>
        <w:rPr>
          <w:rFonts w:cs="Arial"/>
          <w:szCs w:val="26"/>
          <w:lang w:val="ru-RU"/>
        </w:rPr>
      </w:r>
      <w:commentRangeEnd w:id="0"/>
      <w:r>
        <w:commentReference w:id="0"/>
      </w:r>
      <w:r>
        <w:rPr>
          <w:rFonts w:cs="Arial"/>
          <w:szCs w:val="26"/>
          <w:lang w:val="ru-RU"/>
        </w:rPr>
        <w:t xml:space="preserve"> к постановлению изложить в новой редакции согласно приложению к настоящему постановлению.</w:t>
      </w:r>
    </w:p>
    <w:p>
      <w:pPr>
        <w:pStyle w:val="Normal"/>
        <w:rPr>
          <w:lang w:val="ru-RU"/>
        </w:rPr>
      </w:pPr>
      <w:r>
        <w:rPr>
          <w:rFonts w:cs="Arial"/>
          <w:szCs w:val="26"/>
          <w:lang w:val="ru-RU"/>
        </w:rPr>
        <w:t xml:space="preserve">2. Сектору делопроизводства, документационного обеспечения и контроля Аппарата Главы администрации Уватского муниципального района (А.Ю. Васильева) настоящее постановление: </w:t>
      </w:r>
    </w:p>
    <w:p>
      <w:pPr>
        <w:pStyle w:val="Normal"/>
        <w:rPr>
          <w:rFonts w:cs="Arial"/>
          <w:szCs w:val="26"/>
          <w:lang w:val="ru-RU"/>
        </w:rPr>
      </w:pPr>
      <w:r>
        <w:rPr>
          <w:rFonts w:cs="Arial"/>
          <w:szCs w:val="26"/>
          <w:lang w:val="ru-RU"/>
        </w:rPr>
        <w:t xml:space="preserve">а) обнародовать путем размещения на информационных стендах в местах, установленных администрацией Уватского муниципального района; </w:t>
      </w:r>
    </w:p>
    <w:p>
      <w:pPr>
        <w:pStyle w:val="Normal"/>
        <w:rPr>
          <w:rFonts w:cs="Arial"/>
          <w:szCs w:val="26"/>
          <w:lang w:val="ru-RU"/>
        </w:rPr>
      </w:pPr>
      <w:r>
        <w:rPr>
          <w:rFonts w:cs="Arial"/>
          <w:szCs w:val="26"/>
          <w:lang w:val="ru-RU"/>
        </w:rPr>
        <w:t>б) разместить на официальном сайте Уватского муниципального района в сети «Интернет».</w:t>
      </w:r>
    </w:p>
    <w:p>
      <w:pPr>
        <w:pStyle w:val="Normal"/>
        <w:rPr>
          <w:rFonts w:cs="Arial"/>
          <w:szCs w:val="26"/>
          <w:lang w:val="ru-RU"/>
        </w:rPr>
      </w:pPr>
      <w:r>
        <w:rPr>
          <w:rFonts w:cs="Arial"/>
          <w:szCs w:val="26"/>
          <w:lang w:val="ru-RU"/>
        </w:rPr>
        <w:t xml:space="preserve">3. </w:t>
      </w:r>
      <w:r>
        <w:rPr>
          <w:rFonts w:cs="Arial"/>
          <w:szCs w:val="26"/>
          <w:lang w:val="ru-RU" w:eastAsia="ru-RU" w:bidi="ar-SA"/>
        </w:rPr>
        <w:t>Настоящее постановление вступает в силу со дня его обнародования.</w:t>
      </w:r>
    </w:p>
    <w:p>
      <w:pPr>
        <w:pStyle w:val="Normal"/>
        <w:rPr>
          <w:rFonts w:cs="Arial"/>
          <w:szCs w:val="26"/>
          <w:lang w:val="ru-RU"/>
        </w:rPr>
      </w:pPr>
      <w:r>
        <w:rPr>
          <w:rFonts w:cs="Arial"/>
          <w:szCs w:val="26"/>
          <w:lang w:val="ru-RU"/>
        </w:rPr>
        <w:t>4. Контроль за исполнением настоящего постановления возложить на управление градостроительной деятельности и муниципального хозяйства администрации Уватского муниципального района.</w:t>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ind w:hanging="0"/>
        <w:rPr>
          <w:lang w:val="ru-RU"/>
        </w:rPr>
      </w:pPr>
      <w:r>
        <w:rPr>
          <w:rFonts w:cs="Arial"/>
          <w:szCs w:val="26"/>
          <w:lang w:val="ru-RU"/>
        </w:rPr>
        <w:t>Глава</w:t>
        <w:tab/>
        <w:tab/>
        <w:tab/>
        <w:tab/>
        <w:tab/>
        <w:tab/>
        <w:tab/>
        <w:tab/>
        <w:tab/>
        <w:t xml:space="preserve">                    С.Г. Путмин</w:t>
      </w:r>
    </w:p>
    <w:p>
      <w:pPr>
        <w:pStyle w:val="Normal"/>
        <w:jc w:val="right"/>
        <w:rPr>
          <w:rFonts w:cs="Arial"/>
          <w:szCs w:val="26"/>
          <w:lang w:val="ru-RU" w:eastAsia="ru-RU" w:bidi="ar-SA"/>
        </w:rPr>
      </w:pPr>
      <w:r>
        <w:rPr>
          <w:rFonts w:cs="Arial"/>
          <w:szCs w:val="26"/>
          <w:lang w:val="ru-RU" w:eastAsia="ru-RU" w:bidi="ar-SA"/>
        </w:rPr>
      </w:r>
    </w:p>
    <w:p>
      <w:pPr>
        <w:pStyle w:val="Normal"/>
        <w:ind w:hanging="0"/>
        <w:jc w:val="right"/>
        <w:rPr>
          <w:rFonts w:cs="Arial"/>
          <w:szCs w:val="26"/>
          <w:lang w:val="ru-RU"/>
        </w:rPr>
      </w:pPr>
      <w:r>
        <w:rPr>
          <w:rFonts w:cs="Arial"/>
          <w:szCs w:val="26"/>
          <w:lang w:val="ru-RU"/>
        </w:rPr>
      </w:r>
    </w:p>
    <w:p>
      <w:pPr>
        <w:pStyle w:val="Normal"/>
        <w:ind w:hanging="0"/>
        <w:jc w:val="right"/>
        <w:rPr>
          <w:rFonts w:cs="Arial"/>
          <w:szCs w:val="26"/>
          <w:lang w:val="ru-RU"/>
        </w:rPr>
      </w:pPr>
      <w:r>
        <w:rPr>
          <w:rFonts w:cs="Arial"/>
          <w:szCs w:val="26"/>
          <w:lang w:val="ru-RU"/>
        </w:rPr>
      </w:r>
    </w:p>
    <w:p>
      <w:pPr>
        <w:pStyle w:val="Normal"/>
        <w:ind w:hanging="0"/>
        <w:jc w:val="right"/>
        <w:rPr>
          <w:rFonts w:cs="Arial"/>
          <w:szCs w:val="26"/>
          <w:lang w:val="ru-RU"/>
        </w:rPr>
      </w:pPr>
      <w:r>
        <w:rPr>
          <w:rFonts w:cs="Arial"/>
          <w:szCs w:val="26"/>
          <w:lang w:val="ru-RU"/>
        </w:rPr>
      </w:r>
    </w:p>
    <w:p>
      <w:pPr>
        <w:pStyle w:val="Normal"/>
        <w:ind w:hanging="0"/>
        <w:jc w:val="right"/>
        <w:rPr>
          <w:rFonts w:cs="Arial"/>
          <w:szCs w:val="26"/>
          <w:lang w:val="ru-RU"/>
        </w:rPr>
      </w:pPr>
      <w:r>
        <w:rPr>
          <w:rFonts w:cs="Arial"/>
          <w:szCs w:val="26"/>
          <w:lang w:val="ru-RU"/>
        </w:rPr>
      </w:r>
    </w:p>
    <w:p>
      <w:pPr>
        <w:pStyle w:val="Normal"/>
        <w:ind w:hanging="0"/>
        <w:jc w:val="right"/>
        <w:rPr>
          <w:rFonts w:cs="Arial"/>
          <w:szCs w:val="26"/>
          <w:lang w:val="ru-RU"/>
        </w:rPr>
      </w:pPr>
      <w:r>
        <w:rPr>
          <w:rFonts w:cs="Arial"/>
          <w:szCs w:val="26"/>
          <w:lang w:val="ru-RU"/>
        </w:rPr>
      </w:r>
    </w:p>
    <w:p>
      <w:pPr>
        <w:pStyle w:val="Normal"/>
        <w:ind w:hanging="0"/>
        <w:jc w:val="right"/>
        <w:rPr>
          <w:rFonts w:cs="Arial"/>
          <w:szCs w:val="26"/>
          <w:lang w:val="ru-RU"/>
        </w:rPr>
      </w:pPr>
      <w:r>
        <w:rPr>
          <w:rFonts w:cs="Arial"/>
          <w:szCs w:val="26"/>
          <w:lang w:val="ru-RU"/>
        </w:rPr>
      </w:r>
    </w:p>
    <w:p>
      <w:pPr>
        <w:pStyle w:val="Normal"/>
        <w:ind w:hanging="0"/>
        <w:jc w:val="right"/>
        <w:rPr>
          <w:rFonts w:cs="Arial"/>
          <w:szCs w:val="26"/>
          <w:lang w:val="ru-RU"/>
        </w:rPr>
      </w:pPr>
      <w:r>
        <w:rPr>
          <w:rFonts w:cs="Arial"/>
          <w:szCs w:val="26"/>
          <w:lang w:val="ru-RU"/>
        </w:rPr>
        <w:t>Приложение</w:t>
      </w:r>
    </w:p>
    <w:p>
      <w:pPr>
        <w:pStyle w:val="Normal"/>
        <w:ind w:hanging="0"/>
        <w:jc w:val="right"/>
        <w:rPr>
          <w:rFonts w:cs="Arial"/>
          <w:szCs w:val="26"/>
          <w:lang w:val="ru-RU"/>
        </w:rPr>
      </w:pPr>
      <w:r>
        <w:rPr>
          <w:rFonts w:cs="Arial"/>
          <w:szCs w:val="26"/>
          <w:lang w:val="ru-RU"/>
        </w:rPr>
        <w:t xml:space="preserve"> </w:t>
      </w:r>
      <w:r>
        <w:rPr>
          <w:rFonts w:cs="Arial"/>
          <w:szCs w:val="26"/>
          <w:lang w:val="ru-RU"/>
        </w:rPr>
        <w:t xml:space="preserve">к постановлению администрации </w:t>
      </w:r>
    </w:p>
    <w:p>
      <w:pPr>
        <w:pStyle w:val="Normal"/>
        <w:ind w:hanging="0"/>
        <w:jc w:val="right"/>
        <w:rPr>
          <w:rFonts w:cs="Arial"/>
          <w:szCs w:val="26"/>
          <w:lang w:val="ru-RU"/>
        </w:rPr>
      </w:pPr>
      <w:r>
        <w:rPr>
          <w:rFonts w:cs="Arial"/>
          <w:szCs w:val="26"/>
          <w:lang w:val="ru-RU"/>
        </w:rPr>
        <w:t xml:space="preserve">Уватского муниципального района </w:t>
      </w:r>
    </w:p>
    <w:p>
      <w:pPr>
        <w:pStyle w:val="Normal"/>
        <w:ind w:hanging="0"/>
        <w:jc w:val="right"/>
        <w:rPr>
          <w:rFonts w:cs="Arial"/>
          <w:bCs/>
          <w:szCs w:val="26"/>
          <w:lang w:val="ru-RU"/>
        </w:rPr>
      </w:pPr>
      <w:r>
        <w:rPr>
          <w:rFonts w:cs="Arial"/>
          <w:szCs w:val="26"/>
          <w:lang w:val="ru-RU"/>
        </w:rPr>
        <w:t>от</w:t>
      </w:r>
      <w:r>
        <w:rPr>
          <w:rFonts w:cs="Arial"/>
          <w:szCs w:val="26"/>
        </w:rPr>
        <w:t> </w:t>
      </w:r>
      <w:r>
        <w:rPr>
          <w:rFonts w:cs="Arial"/>
          <w:szCs w:val="26"/>
          <w:lang w:val="ru-RU"/>
        </w:rPr>
        <w:t>«__»_____2017 г. № _____</w:t>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ind w:hanging="0"/>
        <w:jc w:val="center"/>
        <w:rPr>
          <w:rFonts w:cs="Arial"/>
          <w:b/>
          <w:b/>
          <w:bCs/>
          <w:szCs w:val="26"/>
          <w:lang w:val="ru-RU" w:eastAsia="ru-RU" w:bidi="ar-SA"/>
        </w:rPr>
      </w:pPr>
      <w:r>
        <w:rPr>
          <w:rFonts w:cs="Arial"/>
          <w:b/>
          <w:bCs/>
          <w:szCs w:val="26"/>
          <w:lang w:val="ru-RU" w:eastAsia="ru-RU" w:bidi="ar-SA"/>
        </w:rPr>
        <w:t xml:space="preserve">Схема теплоснабжения </w:t>
      </w:r>
    </w:p>
    <w:p>
      <w:pPr>
        <w:pStyle w:val="Normal"/>
        <w:ind w:hanging="0"/>
        <w:jc w:val="center"/>
        <w:rPr>
          <w:rFonts w:cs="Arial"/>
          <w:b/>
          <w:b/>
          <w:bCs/>
          <w:szCs w:val="26"/>
          <w:lang w:val="ru-RU" w:eastAsia="ru-RU" w:bidi="ar-SA"/>
        </w:rPr>
      </w:pPr>
      <w:r>
        <w:rPr>
          <w:rFonts w:cs="Arial"/>
          <w:b/>
          <w:bCs/>
          <w:szCs w:val="26"/>
          <w:lang w:val="ru-RU" w:eastAsia="ru-RU" w:bidi="ar-SA"/>
        </w:rPr>
        <w:t xml:space="preserve">Туртасского сельского поселения Уватского муниципального </w:t>
      </w:r>
    </w:p>
    <w:p>
      <w:pPr>
        <w:pStyle w:val="Normal"/>
        <w:ind w:hanging="0"/>
        <w:jc w:val="center"/>
        <w:rPr>
          <w:rFonts w:cs="Arial"/>
          <w:b/>
          <w:b/>
          <w:bCs/>
          <w:szCs w:val="26"/>
          <w:lang w:val="ru-RU" w:eastAsia="ru-RU" w:bidi="ar-SA"/>
        </w:rPr>
      </w:pPr>
      <w:bookmarkStart w:id="2" w:name="_Toc383420103"/>
      <w:r>
        <w:rPr>
          <w:rFonts w:cs="Arial"/>
          <w:b/>
          <w:bCs/>
          <w:szCs w:val="26"/>
          <w:lang w:val="ru-RU" w:eastAsia="ru-RU" w:bidi="ar-SA"/>
        </w:rPr>
        <w:t>района</w:t>
      </w:r>
      <w:bookmarkEnd w:id="2"/>
      <w:r>
        <w:rPr>
          <w:rFonts w:cs="Arial"/>
          <w:b/>
          <w:bCs/>
          <w:szCs w:val="26"/>
          <w:lang w:val="ru-RU" w:eastAsia="ru-RU" w:bidi="ar-SA"/>
        </w:rPr>
        <w:t xml:space="preserve"> </w:t>
      </w:r>
      <w:bookmarkStart w:id="3" w:name="_Toc383420104"/>
      <w:bookmarkEnd w:id="3"/>
      <w:r>
        <w:rPr>
          <w:rFonts w:cs="Arial"/>
          <w:b/>
          <w:bCs/>
          <w:szCs w:val="26"/>
          <w:lang w:val="ru-RU" w:eastAsia="ru-RU" w:bidi="ar-SA"/>
        </w:rPr>
        <w:t>Тюменской области на период 2015–2030 гг.</w:t>
      </w:r>
    </w:p>
    <w:p>
      <w:pPr>
        <w:pStyle w:val="Normal"/>
        <w:ind w:hanging="0"/>
        <w:jc w:val="center"/>
        <w:rPr>
          <w:rFonts w:cs="Arial"/>
          <w:b/>
          <w:b/>
          <w:bCs/>
          <w:szCs w:val="26"/>
          <w:lang w:val="ru-RU" w:eastAsia="ru-RU" w:bidi="ar-SA"/>
        </w:rPr>
      </w:pPr>
      <w:r>
        <w:rPr>
          <w:rFonts w:cs="Arial"/>
          <w:b/>
          <w:bCs/>
          <w:szCs w:val="26"/>
          <w:lang w:val="ru-RU" w:eastAsia="ru-RU" w:bidi="ar-SA"/>
        </w:rPr>
        <w:t>Утверждаемая часть</w:t>
      </w:r>
    </w:p>
    <w:p>
      <w:pPr>
        <w:pStyle w:val="Normal"/>
        <w:jc w:val="center"/>
        <w:rPr>
          <w:rFonts w:cs="Arial"/>
          <w:szCs w:val="26"/>
        </w:rPr>
      </w:pPr>
      <w:r>
        <w:rPr>
          <w:rFonts w:cs="Arial"/>
          <w:szCs w:val="26"/>
        </w:rPr>
      </w:r>
    </w:p>
    <w:p>
      <w:pPr>
        <w:pStyle w:val="Normal"/>
        <w:jc w:val="center"/>
        <w:rPr>
          <w:rFonts w:cs="Arial"/>
          <w:szCs w:val="26"/>
        </w:rPr>
      </w:pPr>
      <w:r>
        <w:rPr>
          <w:rFonts w:cs="Arial"/>
          <w:szCs w:val="26"/>
        </w:rPr>
      </w:r>
    </w:p>
    <w:p>
      <w:pPr>
        <w:pStyle w:val="Normal"/>
        <w:jc w:val="center"/>
        <w:rPr>
          <w:rFonts w:cs="Arial"/>
          <w:szCs w:val="26"/>
        </w:rPr>
      </w:pPr>
      <w:r>
        <w:rPr>
          <w:rFonts w:cs="Arial"/>
          <w:szCs w:val="26"/>
        </w:rPr>
      </w:r>
    </w:p>
    <w:p>
      <w:pPr>
        <w:pStyle w:val="Normal"/>
        <w:widowControl w:val="false"/>
        <w:ind w:hanging="0"/>
        <w:jc w:val="center"/>
        <w:rPr>
          <w:rFonts w:eastAsia="Calibri" w:cs="Arial"/>
          <w:szCs w:val="26"/>
          <w:lang w:val="ru-RU" w:bidi="ar-SA"/>
        </w:rPr>
      </w:pPr>
      <w:r>
        <w:rPr>
          <w:rFonts w:eastAsia="Calibri" w:cs="Arial"/>
          <w:szCs w:val="26"/>
          <w:lang w:val="ru-RU" w:bidi="ar-SA"/>
        </w:rPr>
      </w:r>
    </w:p>
    <w:p>
      <w:pPr>
        <w:pStyle w:val="Normal"/>
        <w:tabs>
          <w:tab w:val="left" w:pos="5387" w:leader="none"/>
        </w:tabs>
        <w:ind w:hanging="0"/>
        <w:rPr>
          <w:rFonts w:cs="Arial"/>
          <w:szCs w:val="26"/>
        </w:rPr>
      </w:pPr>
      <w:r>
        <w:rPr>
          <w:rFonts w:cs="Arial"/>
          <w:szCs w:val="26"/>
        </w:rPr>
        <w:tab/>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tabs>
          <w:tab w:val="left" w:pos="5387" w:leader="none"/>
        </w:tabs>
        <w:ind w:hanging="0"/>
        <w:rPr>
          <w:rFonts w:cs="Arial"/>
          <w:szCs w:val="26"/>
        </w:rPr>
      </w:pPr>
      <w:r>
        <w:rPr>
          <w:rFonts w:cs="Arial"/>
          <w:szCs w:val="26"/>
        </w:rPr>
      </w:r>
    </w:p>
    <w:p>
      <w:pPr>
        <w:pStyle w:val="Normal"/>
        <w:widowControl w:val="false"/>
        <w:ind w:hanging="0"/>
        <w:jc w:val="center"/>
        <w:rPr>
          <w:rFonts w:eastAsia="Calibri" w:cs="Arial"/>
          <w:szCs w:val="26"/>
          <w:lang w:val="ru-RU" w:bidi="ar-SA"/>
        </w:rPr>
      </w:pPr>
      <w:r>
        <w:rPr>
          <w:rFonts w:eastAsia="Calibri" w:cs="Arial"/>
          <w:szCs w:val="26"/>
          <w:lang w:val="ru-RU" w:bidi="ar-SA"/>
        </w:rPr>
        <w:t>2017 г.</w:t>
      </w:r>
      <w:r>
        <w:br w:type="page"/>
      </w:r>
    </w:p>
    <w:p>
      <w:pPr>
        <w:pStyle w:val="Normal"/>
        <w:ind w:hanging="0"/>
        <w:jc w:val="center"/>
        <w:rPr>
          <w:rFonts w:cs="Arial"/>
          <w:bCs/>
          <w:szCs w:val="26"/>
          <w:lang w:val="ru-RU" w:eastAsia="ru-RU" w:bidi="ar-SA"/>
        </w:rPr>
      </w:pPr>
      <w:r>
        <w:rPr>
          <w:rFonts w:cs="Arial"/>
          <w:bCs/>
          <w:szCs w:val="26"/>
          <w:lang w:val="ru-RU" w:eastAsia="ru-RU" w:bidi="ar-SA"/>
        </w:rPr>
        <w:t>Содержание</w:t>
      </w:r>
    </w:p>
    <w:p>
      <w:pPr>
        <w:pStyle w:val="Normal"/>
        <w:rPr>
          <w:rFonts w:cs="Arial"/>
          <w:szCs w:val="26"/>
          <w:lang w:val="ru-RU"/>
        </w:rPr>
      </w:pPr>
      <w:r>
        <w:rPr>
          <w:rFonts w:cs="Arial"/>
          <w:szCs w:val="26"/>
          <w:lang w:val="ru-RU"/>
        </w:rPr>
      </w:r>
    </w:p>
    <w:tbl>
      <w:tblPr>
        <w:tblStyle w:val="1f2"/>
        <w:tblW w:w="10769" w:type="dxa"/>
        <w:jc w:val="left"/>
        <w:tblInd w:w="-994" w:type="dxa"/>
        <w:tblCellMar>
          <w:top w:w="0" w:type="dxa"/>
          <w:left w:w="123" w:type="dxa"/>
          <w:bottom w:w="0" w:type="dxa"/>
          <w:right w:w="108" w:type="dxa"/>
        </w:tblCellMar>
        <w:tblLook w:val="04a0"/>
      </w:tblPr>
      <w:tblGrid>
        <w:gridCol w:w="10214"/>
        <w:gridCol w:w="554"/>
      </w:tblGrid>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1.</w:t>
            </w:r>
            <w:r>
              <w:rPr>
                <w:rFonts w:eastAsia="Calibri" w:cs="Arial" w:eastAsiaTheme="minorHAnsi"/>
                <w:szCs w:val="26"/>
                <w:lang w:val="ru-RU" w:bidi="ar-SA"/>
              </w:rPr>
              <w:t xml:space="preserve"> Показатели перспективного спроса на тепловую энергию (мощность) и теплоноситель в установленных границах территории поселения……………………</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6</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1.1.</w:t>
            </w:r>
            <w:r>
              <w:rPr>
                <w:rFonts w:eastAsia="Calibri" w:cs="Arial" w:eastAsiaTheme="minorHAnsi"/>
                <w:szCs w:val="26"/>
                <w:lang w:val="ru-RU" w:bidi="ar-SA"/>
              </w:rPr>
              <w:t xml:space="preserve">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6</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1.2.</w:t>
            </w:r>
            <w:r>
              <w:rPr>
                <w:rFonts w:eastAsia="Calibri" w:cs="Arial" w:eastAsiaTheme="minorHAnsi"/>
                <w:szCs w:val="26"/>
                <w:lang w:val="ru-RU" w:bidi="ar-SA"/>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23</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1.3.</w:t>
            </w:r>
            <w:r>
              <w:rPr>
                <w:rFonts w:eastAsia="Calibri" w:cs="Arial" w:eastAsiaTheme="minorHAnsi"/>
                <w:szCs w:val="26"/>
                <w:lang w:val="ru-RU" w:bidi="ar-SA"/>
              </w:rPr>
              <w:t xml:space="preserve">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24</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w:t>
            </w:r>
            <w:r>
              <w:rPr>
                <w:rFonts w:eastAsia="Calibri" w:cs="Arial" w:eastAsiaTheme="minorHAnsi"/>
                <w:szCs w:val="26"/>
                <w:lang w:val="ru-RU" w:bidi="ar-SA"/>
              </w:rPr>
              <w:t xml:space="preserve"> Перспективные балансы тепловой мощности источников тепловой энергии и тепловой нагрузки потребителей……………………………………………....</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26</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2.1</w:t>
            </w:r>
            <w:r>
              <w:rPr>
                <w:rFonts w:eastAsia="Calibri" w:cs="Arial" w:eastAsiaTheme="minorHAnsi"/>
                <w:szCs w:val="26"/>
                <w:lang w:val="ru-RU" w:bidi="ar-SA"/>
              </w:rPr>
              <w:t>.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26</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2.2.</w:t>
            </w:r>
            <w:r>
              <w:rPr>
                <w:rFonts w:eastAsia="Calibri" w:cs="Arial" w:eastAsiaTheme="minorHAnsi"/>
                <w:szCs w:val="26"/>
                <w:lang w:val="ru-RU" w:bidi="ar-SA"/>
              </w:rPr>
              <w:t xml:space="preserve"> Описание существующих и перспективных зон действия систем теплоснабжения и источников тепловой энергии…………………………………………</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32</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2.3.</w:t>
            </w:r>
            <w:r>
              <w:rPr>
                <w:rFonts w:eastAsia="Calibri" w:cs="Arial" w:eastAsiaTheme="minorHAnsi"/>
                <w:szCs w:val="26"/>
                <w:lang w:val="ru-RU" w:bidi="ar-SA"/>
              </w:rPr>
              <w:t xml:space="preserve"> Описание существующих и перспективных зон действия индивидуальных источников тепловой энергии……………………………………….....</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35</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2.4.</w:t>
            </w:r>
            <w:r>
              <w:rPr>
                <w:rFonts w:eastAsia="Calibri" w:cs="Arial" w:eastAsiaTheme="minorHAnsi"/>
                <w:szCs w:val="26"/>
                <w:lang w:val="ru-RU" w:bidi="ar-SA"/>
              </w:rPr>
              <w:t xml:space="preserve">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36</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2.5.</w:t>
            </w:r>
            <w:r>
              <w:rPr>
                <w:rFonts w:eastAsia="Calibri" w:cs="Arial" w:eastAsiaTheme="minorHAnsi"/>
                <w:szCs w:val="26"/>
                <w:lang w:val="ru-RU" w:bidi="ar-SA"/>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38</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2.6.</w:t>
            </w:r>
            <w:r>
              <w:rPr>
                <w:rFonts w:eastAsia="Calibri" w:cs="Arial" w:eastAsiaTheme="minorHAnsi"/>
                <w:szCs w:val="26"/>
                <w:lang w:val="ru-RU" w:bidi="ar-SA"/>
              </w:rPr>
              <w:t xml:space="preserve"> Существующие и перспективные затраты тепловой мощности на собственные и хозяйственные нужды источников тепловой энергии………………...</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38</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2.7.</w:t>
            </w:r>
            <w:r>
              <w:rPr>
                <w:rFonts w:eastAsia="Calibri" w:cs="Arial" w:eastAsiaTheme="minorHAnsi"/>
                <w:szCs w:val="26"/>
                <w:lang w:val="ru-RU" w:bidi="ar-SA"/>
              </w:rPr>
              <w:t xml:space="preserve"> Значения существующей и перспективной тепловой мощности источников тепловой энергии нетто………………………………………………….........</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38</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2.8.</w:t>
            </w:r>
            <w:r>
              <w:rPr>
                <w:rFonts w:eastAsia="Calibri" w:cs="Arial" w:eastAsiaTheme="minorHAnsi"/>
                <w:szCs w:val="26"/>
                <w:lang w:val="ru-RU" w:bidi="ar-SA"/>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38</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2.9.</w:t>
            </w:r>
            <w:r>
              <w:rPr>
                <w:rFonts w:eastAsia="Calibri" w:cs="Arial" w:eastAsiaTheme="minorHAnsi"/>
                <w:szCs w:val="26"/>
                <w:lang w:val="ru-RU" w:bidi="ar-SA"/>
              </w:rPr>
              <w:t xml:space="preserve"> Затраты существующей и перспективной тепловой мощности на хозяйственные нужды тепловых сетей…………………………………………………….</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39</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2.10.</w:t>
            </w:r>
            <w:r>
              <w:rPr>
                <w:rFonts w:eastAsia="Calibri" w:cs="Arial" w:eastAsiaTheme="minorHAnsi"/>
                <w:szCs w:val="26"/>
                <w:lang w:val="ru-RU" w:bidi="ar-SA"/>
              </w:rPr>
              <w:t xml:space="preserve">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r>
          </w:p>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r>
          </w:p>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r>
          </w:p>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r>
          </w:p>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39</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2.11.</w:t>
            </w:r>
            <w:r>
              <w:rPr>
                <w:rFonts w:eastAsia="Calibri" w:cs="Arial" w:eastAsiaTheme="minorHAnsi"/>
                <w:szCs w:val="26"/>
                <w:lang w:val="ru-RU" w:bidi="ar-SA"/>
              </w:rPr>
              <w:t xml:space="preserve">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40</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3.</w:t>
            </w:r>
            <w:r>
              <w:rPr>
                <w:rFonts w:eastAsia="Calibri" w:cs="Arial" w:eastAsiaTheme="minorHAnsi"/>
                <w:szCs w:val="26"/>
                <w:lang w:val="ru-RU" w:bidi="ar-SA"/>
              </w:rPr>
              <w:t xml:space="preserve"> Перспективные балансы теплоносителя……………………………………......</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40</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3.1.</w:t>
            </w:r>
            <w:r>
              <w:rPr>
                <w:rFonts w:eastAsia="Calibri" w:cs="Arial" w:eastAsiaTheme="minorHAnsi"/>
                <w:szCs w:val="26"/>
                <w:lang w:val="ru-RU" w:bidi="ar-SA"/>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40</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3.2.</w:t>
            </w:r>
            <w:r>
              <w:rPr>
                <w:rFonts w:eastAsia="Calibri" w:cs="Arial" w:eastAsiaTheme="minorHAnsi"/>
                <w:szCs w:val="26"/>
                <w:lang w:val="ru-RU" w:bidi="ar-SA"/>
              </w:rPr>
              <w:t xml:space="preserve">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40</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4.</w:t>
            </w:r>
            <w:r>
              <w:rPr>
                <w:rFonts w:eastAsia="Calibri" w:cs="Arial" w:eastAsiaTheme="minorHAnsi"/>
                <w:szCs w:val="26"/>
                <w:lang w:val="ru-RU" w:bidi="ar-SA"/>
              </w:rPr>
              <w:t xml:space="preserve"> Предложения по строительству, реконструкции и техническому перевооружению источников тепловой энергии………………………………………….</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42</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4.1.</w:t>
            </w:r>
            <w:r>
              <w:rPr>
                <w:rFonts w:eastAsia="Calibri" w:cs="Arial" w:eastAsiaTheme="minorHAnsi"/>
                <w:szCs w:val="26"/>
                <w:lang w:val="ru-RU" w:bidi="ar-SA"/>
              </w:rPr>
              <w:t xml:space="preserve">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42</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4.2.</w:t>
            </w:r>
            <w:r>
              <w:rPr>
                <w:rFonts w:eastAsia="Calibri" w:cs="Arial" w:eastAsiaTheme="minorHAnsi"/>
                <w:szCs w:val="26"/>
                <w:lang w:val="ru-RU" w:bidi="ar-SA"/>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42</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4.3.</w:t>
            </w:r>
            <w:r>
              <w:rPr>
                <w:rFonts w:eastAsia="Calibri" w:cs="Arial" w:eastAsiaTheme="minorHAnsi"/>
                <w:szCs w:val="26"/>
                <w:lang w:val="ru-RU" w:bidi="ar-SA"/>
              </w:rPr>
              <w:t xml:space="preserve"> Предложения по техническому перевооружению источников тепловой энергии с целью повышения эффективности работы систем теплоснабжения………………………………………………………………………………..</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42</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4.4.</w:t>
            </w:r>
            <w:r>
              <w:rPr>
                <w:rFonts w:eastAsia="Calibri" w:cs="Arial" w:eastAsiaTheme="minorHAnsi"/>
                <w:szCs w:val="26"/>
                <w:lang w:val="ru-RU" w:bidi="ar-SA"/>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43</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4.5.</w:t>
            </w:r>
            <w:r>
              <w:rPr>
                <w:rFonts w:eastAsia="Calibri" w:cs="Arial" w:eastAsiaTheme="minorHAnsi"/>
                <w:szCs w:val="26"/>
                <w:lang w:val="ru-RU" w:bidi="ar-SA"/>
              </w:rPr>
              <w:t xml:space="preserve"> Меры по переоборудованию котельных в источники комбинированной выработки электрической и тепловой энергии для каждого этапа……………………</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43</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4.6.</w:t>
            </w:r>
            <w:r>
              <w:rPr>
                <w:rFonts w:eastAsia="Calibri" w:cs="Arial" w:eastAsiaTheme="minorHAnsi"/>
                <w:szCs w:val="26"/>
                <w:lang w:val="ru-RU" w:bidi="ar-SA"/>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43</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4.7.</w:t>
            </w:r>
            <w:r>
              <w:rPr>
                <w:rFonts w:eastAsia="Calibri" w:cs="Arial" w:eastAsiaTheme="minorHAnsi"/>
                <w:szCs w:val="26"/>
                <w:lang w:val="ru-RU" w:bidi="ar-SA"/>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43</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4.8.</w:t>
            </w:r>
            <w:r>
              <w:rPr>
                <w:rFonts w:eastAsia="Calibri" w:cs="Arial" w:eastAsiaTheme="minorHAnsi"/>
                <w:szCs w:val="26"/>
                <w:lang w:val="ru-RU" w:bidi="ar-SA"/>
              </w:rPr>
              <w:t xml:space="preserve">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r>
          </w:p>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r>
          </w:p>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r>
          </w:p>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44</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4.9.</w:t>
            </w:r>
            <w:r>
              <w:rPr>
                <w:rFonts w:eastAsia="Calibri" w:cs="Arial" w:eastAsiaTheme="minorHAnsi"/>
                <w:szCs w:val="26"/>
                <w:lang w:val="ru-RU" w:bidi="ar-SA"/>
              </w:rPr>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источников…………………………………………………………….</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44</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5.</w:t>
            </w:r>
            <w:r>
              <w:rPr>
                <w:rFonts w:eastAsia="Calibri" w:cs="Arial" w:eastAsiaTheme="minorHAnsi"/>
                <w:szCs w:val="26"/>
                <w:lang w:val="ru-RU" w:bidi="ar-SA"/>
              </w:rPr>
              <w:t xml:space="preserve"> Предложения по строительству и реконструкции тепловых сетей…............</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44</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5.1.</w:t>
            </w:r>
            <w:r>
              <w:rPr>
                <w:rFonts w:eastAsia="Calibri" w:cs="Arial" w:eastAsiaTheme="minorHAnsi"/>
                <w:szCs w:val="26"/>
                <w:lang w:val="ru-RU" w:bidi="ar-SA"/>
              </w:rPr>
              <w:t xml:space="preserve">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44</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5.2.</w:t>
            </w:r>
            <w:r>
              <w:rPr>
                <w:rFonts w:eastAsia="Calibri" w:cs="Arial" w:eastAsiaTheme="minorHAnsi"/>
                <w:szCs w:val="26"/>
                <w:lang w:val="ru-RU" w:bidi="ar-SA"/>
              </w:rPr>
              <w:t xml:space="preserve">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45</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5.3.</w:t>
            </w:r>
            <w:r>
              <w:rPr>
                <w:rFonts w:eastAsia="Calibri" w:cs="Arial" w:eastAsiaTheme="minorHAnsi"/>
                <w:szCs w:val="26"/>
                <w:lang w:val="ru-RU" w:bidi="ar-SA"/>
              </w:rPr>
              <w:t xml:space="preserve">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47</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5.4.</w:t>
            </w:r>
            <w:r>
              <w:rPr>
                <w:rFonts w:eastAsia="Calibri" w:cs="Arial" w:eastAsiaTheme="minorHAnsi"/>
                <w:szCs w:val="26"/>
                <w:lang w:val="ru-RU" w:bidi="ar-SA"/>
              </w:rPr>
              <w:t xml:space="preserve">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47</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5.5.</w:t>
            </w:r>
            <w:r>
              <w:rPr>
                <w:rFonts w:eastAsia="Calibri" w:cs="Arial" w:eastAsiaTheme="minorHAnsi"/>
                <w:szCs w:val="26"/>
                <w:lang w:val="ru-RU" w:bidi="ar-SA"/>
              </w:rPr>
              <w:t xml:space="preserve">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47</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6.</w:t>
            </w:r>
            <w:r>
              <w:rPr>
                <w:rFonts w:eastAsia="Calibri" w:cs="Arial" w:eastAsiaTheme="minorHAnsi"/>
                <w:szCs w:val="26"/>
                <w:lang w:val="ru-RU" w:bidi="ar-SA"/>
              </w:rPr>
              <w:t xml:space="preserve"> Перспективные топливные балансы…………………………………………......</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47</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7.</w:t>
            </w:r>
            <w:r>
              <w:rPr>
                <w:rFonts w:eastAsia="Calibri" w:cs="Arial" w:eastAsiaTheme="minorHAnsi"/>
                <w:szCs w:val="26"/>
                <w:lang w:val="ru-RU" w:bidi="ar-SA"/>
              </w:rPr>
              <w:t xml:space="preserve"> Инвестиции в строительство, реконструкцию и техническое перевооружение……………………………………………………………………….............</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67</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7.1.</w:t>
            </w:r>
            <w:r>
              <w:rPr>
                <w:rFonts w:eastAsia="Calibri" w:cs="Arial" w:eastAsiaTheme="minorHAnsi"/>
                <w:szCs w:val="26"/>
                <w:lang w:val="ru-RU" w:bidi="ar-SA"/>
              </w:rPr>
              <w:t xml:space="preserve">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67</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7.2.</w:t>
            </w:r>
            <w:r>
              <w:rPr>
                <w:rFonts w:eastAsia="Calibri" w:cs="Arial" w:eastAsiaTheme="minorHAnsi"/>
                <w:szCs w:val="26"/>
                <w:lang w:val="ru-RU" w:bidi="ar-SA"/>
              </w:rPr>
              <w:t xml:space="preserve">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67</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7.3.</w:t>
            </w:r>
            <w:r>
              <w:rPr>
                <w:rFonts w:eastAsia="Calibri" w:cs="Arial" w:eastAsiaTheme="minorHAnsi"/>
                <w:szCs w:val="26"/>
                <w:lang w:val="ru-RU" w:bidi="ar-SA"/>
              </w:rPr>
              <w:t xml:space="preserve">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68</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8.</w:t>
            </w:r>
            <w:r>
              <w:rPr>
                <w:rFonts w:eastAsia="Calibri" w:cs="Arial" w:eastAsiaTheme="minorHAnsi"/>
                <w:szCs w:val="26"/>
                <w:lang w:val="ru-RU" w:bidi="ar-SA"/>
              </w:rPr>
              <w:t xml:space="preserve"> Обоснование предложений по определению единой теплоснабжающей организации……………………………………………………………………………………..</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70</w:t>
            </w:r>
          </w:p>
        </w:tc>
      </w:tr>
      <w:tr>
        <w:trPr/>
        <w:tc>
          <w:tcPr>
            <w:tcW w:w="10214" w:type="dxa"/>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9.</w:t>
            </w:r>
            <w:r>
              <w:rPr>
                <w:rFonts w:eastAsia="Calibri" w:cs="Arial" w:eastAsiaTheme="minorHAnsi"/>
                <w:szCs w:val="26"/>
                <w:lang w:val="ru-RU" w:bidi="ar-SA"/>
              </w:rPr>
              <w:t xml:space="preserve"> Решение о распределении тепловой нагрузки между источниками тепловой энергии……………………………………………………………………………....</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75</w:t>
            </w:r>
          </w:p>
        </w:tc>
      </w:tr>
      <w:tr>
        <w:trPr/>
        <w:tc>
          <w:tcPr>
            <w:tcW w:w="10214" w:type="dxa"/>
            <w:vMerge w:val="restart"/>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b/>
                <w:szCs w:val="26"/>
                <w:lang w:val="ru-RU" w:bidi="ar-SA"/>
              </w:rPr>
              <w:t>10.</w:t>
            </w:r>
            <w:r>
              <w:rPr>
                <w:rFonts w:eastAsia="Calibri" w:cs="Arial" w:eastAsiaTheme="minorHAnsi"/>
                <w:szCs w:val="26"/>
                <w:lang w:val="ru-RU" w:bidi="ar-SA"/>
              </w:rPr>
              <w:t xml:space="preserve"> Решение по бесхозяйным сетям…………………………………………………</w:t>
            </w:r>
          </w:p>
          <w:p>
            <w:pPr>
              <w:pStyle w:val="Normal"/>
              <w:spacing w:lineRule="auto" w:line="240"/>
              <w:rPr>
                <w:rFonts w:eastAsia="Calibri" w:cs="Arial" w:eastAsiaTheme="minorHAnsi"/>
                <w:szCs w:val="26"/>
                <w:lang w:val="ru-RU" w:bidi="ar-SA"/>
              </w:rPr>
            </w:pPr>
            <w:r>
              <w:rPr>
                <w:rFonts w:eastAsia="Calibri" w:cs="Arial" w:eastAsiaTheme="minorHAnsi"/>
                <w:szCs w:val="26"/>
                <w:lang w:val="ru-RU" w:bidi="ar-SA"/>
              </w:rPr>
              <w:t>Приложение 1: схема системы теплоснабжения п. Туртас</w:t>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t>76</w:t>
            </w:r>
          </w:p>
        </w:tc>
      </w:tr>
      <w:tr>
        <w:trPr/>
        <w:tc>
          <w:tcPr>
            <w:tcW w:w="10214" w:type="dxa"/>
            <w:vMerge w:val="continue"/>
            <w:tcBorders>
              <w:top w:val="nil"/>
              <w:left w:val="nil"/>
              <w:bottom w:val="nil"/>
              <w:right w:val="nil"/>
              <w:insideH w:val="nil"/>
              <w:insideV w:val="nil"/>
            </w:tcBorders>
            <w:shd w:color="auto" w:fill="auto" w:val="clear"/>
          </w:tcPr>
          <w:p>
            <w:pPr>
              <w:pStyle w:val="Normal"/>
              <w:spacing w:lineRule="auto" w:line="240"/>
              <w:rPr>
                <w:rFonts w:eastAsia="Calibri" w:cs="Arial" w:eastAsiaTheme="minorHAnsi"/>
                <w:szCs w:val="26"/>
                <w:lang w:val="ru-RU" w:bidi="ar-SA"/>
              </w:rPr>
            </w:pPr>
            <w:r>
              <w:rPr>
                <w:rFonts w:eastAsia="Calibri" w:cs="Arial" w:eastAsiaTheme="minorHAnsi"/>
                <w:szCs w:val="26"/>
                <w:lang w:val="ru-RU" w:bidi="ar-SA"/>
              </w:rPr>
            </w:r>
          </w:p>
        </w:tc>
        <w:tc>
          <w:tcPr>
            <w:tcW w:w="554" w:type="dxa"/>
            <w:tcBorders>
              <w:top w:val="nil"/>
              <w:left w:val="nil"/>
              <w:bottom w:val="nil"/>
              <w:right w:val="nil"/>
              <w:insideH w:val="nil"/>
              <w:insideV w:val="nil"/>
            </w:tcBorders>
            <w:shd w:color="auto" w:fill="auto" w:val="clear"/>
            <w:vAlign w:val="bottom"/>
          </w:tcPr>
          <w:p>
            <w:pPr>
              <w:pStyle w:val="Normal"/>
              <w:spacing w:lineRule="auto" w:line="240"/>
              <w:ind w:hanging="0"/>
              <w:jc w:val="right"/>
              <w:rPr>
                <w:rFonts w:eastAsia="Calibri" w:cs="Arial" w:eastAsiaTheme="minorHAnsi"/>
                <w:szCs w:val="26"/>
                <w:lang w:val="ru-RU" w:bidi="ar-SA"/>
              </w:rPr>
            </w:pPr>
            <w:r>
              <w:rPr>
                <w:rFonts w:eastAsia="Calibri" w:cs="Arial" w:eastAsiaTheme="minorHAnsi"/>
                <w:szCs w:val="26"/>
                <w:lang w:val="ru-RU" w:bidi="ar-SA"/>
              </w:rPr>
            </w:r>
          </w:p>
        </w:tc>
      </w:tr>
    </w:tbl>
    <w:p>
      <w:pPr>
        <w:pStyle w:val="Normal"/>
        <w:ind w:hanging="0"/>
        <w:jc w:val="left"/>
        <w:rPr>
          <w:rFonts w:cs="Arial"/>
          <w:szCs w:val="26"/>
          <w:lang w:val="ru-RU"/>
        </w:rPr>
      </w:pPr>
      <w:r>
        <w:rPr>
          <w:rFonts w:cs="Arial"/>
          <w:szCs w:val="26"/>
          <w:lang w:val="ru-RU"/>
        </w:rPr>
      </w:r>
      <w:r>
        <w:br w:type="page"/>
      </w:r>
    </w:p>
    <w:p>
      <w:pPr>
        <w:pStyle w:val="Normal"/>
        <w:numPr>
          <w:ilvl w:val="0"/>
          <w:numId w:val="1"/>
        </w:numPr>
        <w:spacing w:before="0" w:after="0"/>
        <w:ind w:left="0" w:hanging="0"/>
        <w:contextualSpacing/>
        <w:jc w:val="center"/>
        <w:outlineLvl w:val="0"/>
        <w:rPr>
          <w:rFonts w:cs="Arial"/>
          <w:b/>
          <w:b/>
          <w:szCs w:val="26"/>
          <w:lang w:val="ru-RU" w:eastAsia="ru-RU"/>
        </w:rPr>
      </w:pPr>
      <w:bookmarkStart w:id="4" w:name="_Toc398022648"/>
      <w:bookmarkEnd w:id="4"/>
      <w:r>
        <w:rPr>
          <w:rFonts w:cs="Arial"/>
          <w:b/>
          <w:szCs w:val="26"/>
          <w:lang w:val="ru-RU" w:eastAsia="ru-RU"/>
        </w:rPr>
        <w:t>Показатели перспективного спроса на тепловую энергию (мощность) и теплоноситель в установленных границах территории поселения</w:t>
      </w:r>
    </w:p>
    <w:p>
      <w:pPr>
        <w:pStyle w:val="Normal"/>
        <w:numPr>
          <w:ilvl w:val="1"/>
          <w:numId w:val="1"/>
        </w:numPr>
        <w:ind w:left="0" w:hanging="0"/>
        <w:jc w:val="center"/>
        <w:outlineLvl w:val="1"/>
        <w:rPr>
          <w:rFonts w:cs="Arial"/>
          <w:b/>
          <w:b/>
          <w:szCs w:val="26"/>
          <w:lang w:val="ru-RU" w:eastAsia="ru-RU"/>
        </w:rPr>
      </w:pPr>
      <w:bookmarkStart w:id="5" w:name="_Toc397084919"/>
      <w:bookmarkStart w:id="6" w:name="_Toc398022649"/>
      <w:bookmarkEnd w:id="5"/>
      <w:bookmarkEnd w:id="6"/>
      <w:r>
        <w:rPr>
          <w:rFonts w:cs="Arial"/>
          <w:b/>
          <w:szCs w:val="26"/>
          <w:lang w:val="ru-RU" w:eastAsia="ru-RU"/>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p>
    <w:p>
      <w:pPr>
        <w:pStyle w:val="Normal"/>
        <w:ind w:hanging="0"/>
        <w:rPr>
          <w:rFonts w:cs="Arial"/>
          <w:szCs w:val="26"/>
          <w:lang w:val="ru-RU"/>
        </w:rPr>
      </w:pPr>
      <w:r>
        <w:rPr>
          <w:rFonts w:cs="Arial"/>
          <w:szCs w:val="26"/>
          <w:lang w:val="ru-RU"/>
        </w:rPr>
      </w:r>
    </w:p>
    <w:p>
      <w:pPr>
        <w:pStyle w:val="Normal"/>
        <w:numPr>
          <w:ilvl w:val="0"/>
          <w:numId w:val="0"/>
        </w:numPr>
        <w:spacing w:before="0" w:after="0"/>
        <w:ind w:hanging="0"/>
        <w:contextualSpacing/>
        <w:jc w:val="center"/>
        <w:outlineLvl w:val="2"/>
        <w:rPr>
          <w:rFonts w:cs="Arial"/>
          <w:b/>
          <w:b/>
          <w:szCs w:val="26"/>
          <w:lang w:val="ru-RU" w:eastAsia="ru-RU" w:bidi="ar-SA"/>
        </w:rPr>
      </w:pPr>
      <w:bookmarkStart w:id="7" w:name="_Toc397335560"/>
      <w:bookmarkStart w:id="8" w:name="_Toc398022650"/>
      <w:bookmarkEnd w:id="7"/>
      <w:bookmarkEnd w:id="8"/>
      <w:r>
        <w:rPr>
          <w:rFonts w:cs="Arial"/>
          <w:b/>
          <w:szCs w:val="26"/>
          <w:lang w:val="ru-RU" w:eastAsia="ru-RU" w:bidi="ar-SA"/>
        </w:rPr>
        <w:t>Жилой фонд</w:t>
      </w:r>
    </w:p>
    <w:p>
      <w:pPr>
        <w:pStyle w:val="Normal"/>
        <w:rPr>
          <w:rFonts w:cs="Arial"/>
          <w:szCs w:val="26"/>
          <w:lang w:val="ru-RU"/>
        </w:rPr>
      </w:pPr>
      <w:r>
        <w:rPr>
          <w:rFonts w:cs="Arial"/>
          <w:szCs w:val="26"/>
          <w:lang w:val="ru-RU"/>
        </w:rPr>
        <w:t>Жилой фонд на расчетных срок строительства составит 143,0</w:t>
      </w:r>
      <w:r>
        <w:rPr>
          <w:rFonts w:cs="Arial"/>
          <w:szCs w:val="26"/>
        </w:rPr>
        <w:t> </w:t>
      </w:r>
      <w:r>
        <w:rPr>
          <w:rFonts w:cs="Arial"/>
          <w:szCs w:val="26"/>
          <w:lang w:val="ru-RU"/>
        </w:rPr>
        <w:t>тыс.</w:t>
      </w:r>
      <w:r>
        <w:rPr>
          <w:rFonts w:cs="Arial"/>
          <w:szCs w:val="26"/>
        </w:rPr>
        <w:t> </w:t>
      </w:r>
      <w:r>
        <w:rPr>
          <w:rFonts w:cs="Arial"/>
          <w:szCs w:val="26"/>
          <w:lang w:val="ru-RU"/>
        </w:rPr>
        <w:t>кв.</w:t>
      </w:r>
      <w:r>
        <w:rPr>
          <w:rFonts w:cs="Arial"/>
          <w:szCs w:val="26"/>
        </w:rPr>
        <w:t> </w:t>
      </w:r>
      <w:r>
        <w:rPr>
          <w:rFonts w:cs="Arial"/>
          <w:szCs w:val="26"/>
          <w:lang w:val="ru-RU"/>
        </w:rPr>
        <w:t>м. общей площади, в том числе:</w:t>
      </w:r>
    </w:p>
    <w:p>
      <w:pPr>
        <w:pStyle w:val="Normal"/>
        <w:rPr>
          <w:rFonts w:cs="Arial"/>
          <w:szCs w:val="26"/>
          <w:lang w:val="ru-RU"/>
        </w:rPr>
      </w:pPr>
      <w:r>
        <w:rPr>
          <w:rFonts w:cs="Arial"/>
          <w:szCs w:val="26"/>
          <w:lang w:val="ru-RU"/>
        </w:rPr>
        <w:t>-</w:t>
      </w:r>
      <w:r>
        <w:rPr>
          <w:rFonts w:cs="Arial"/>
          <w:szCs w:val="26"/>
        </w:rPr>
        <w:t> </w:t>
      </w:r>
      <w:r>
        <w:rPr>
          <w:rFonts w:cs="Arial"/>
          <w:szCs w:val="26"/>
          <w:lang w:val="ru-RU"/>
        </w:rPr>
        <w:t>новое жилищное строительство - 32,3 тыс. кв. м - 23%;</w:t>
      </w:r>
    </w:p>
    <w:p>
      <w:pPr>
        <w:pStyle w:val="Normal"/>
        <w:rPr>
          <w:rFonts w:cs="Arial"/>
          <w:szCs w:val="26"/>
          <w:lang w:val="ru-RU"/>
        </w:rPr>
      </w:pPr>
      <w:r>
        <w:rPr>
          <w:rFonts w:cs="Arial"/>
          <w:szCs w:val="26"/>
          <w:lang w:val="ru-RU"/>
        </w:rPr>
        <w:t>-</w:t>
      </w:r>
      <w:r>
        <w:rPr>
          <w:rFonts w:cs="Arial"/>
          <w:szCs w:val="26"/>
        </w:rPr>
        <w:t> </w:t>
      </w:r>
      <w:r>
        <w:rPr>
          <w:rFonts w:cs="Arial"/>
          <w:szCs w:val="26"/>
          <w:lang w:val="ru-RU"/>
        </w:rPr>
        <w:t>существующий сохраняемый жилой фонд - 110,7 тыс. кв. м - 77%.</w:t>
      </w:r>
    </w:p>
    <w:p>
      <w:pPr>
        <w:pStyle w:val="Normal"/>
        <w:rPr>
          <w:rFonts w:cs="Arial"/>
          <w:szCs w:val="26"/>
          <w:lang w:val="ru-RU"/>
        </w:rPr>
      </w:pPr>
      <w:r>
        <w:rPr>
          <w:rFonts w:cs="Arial"/>
          <w:szCs w:val="26"/>
          <w:lang w:val="ru-RU"/>
        </w:rPr>
        <w:t>Структура этажности в новом строительстве следующая:</w:t>
      </w:r>
    </w:p>
    <w:p>
      <w:pPr>
        <w:pStyle w:val="Normal"/>
        <w:rPr>
          <w:rFonts w:cs="Arial"/>
          <w:szCs w:val="26"/>
          <w:lang w:val="ru-RU"/>
        </w:rPr>
      </w:pPr>
      <w:r>
        <w:rPr>
          <w:rFonts w:cs="Arial"/>
          <w:szCs w:val="26"/>
          <w:lang w:val="ru-RU"/>
        </w:rPr>
        <w:t>-</w:t>
      </w:r>
      <w:r>
        <w:rPr>
          <w:rFonts w:cs="Arial"/>
          <w:szCs w:val="26"/>
        </w:rPr>
        <w:t> </w:t>
      </w:r>
      <w:r>
        <w:rPr>
          <w:rFonts w:cs="Arial"/>
          <w:szCs w:val="26"/>
          <w:lang w:val="ru-RU"/>
        </w:rPr>
        <w:t>двухэтажная многоквартирная застройка - 4,8 тыс. кв. м - 15%;</w:t>
      </w:r>
    </w:p>
    <w:p>
      <w:pPr>
        <w:pStyle w:val="Normal"/>
        <w:rPr>
          <w:rFonts w:cs="Arial"/>
          <w:szCs w:val="26"/>
          <w:lang w:val="ru-RU"/>
        </w:rPr>
      </w:pPr>
      <w:r>
        <w:rPr>
          <w:rFonts w:cs="Arial"/>
          <w:szCs w:val="26"/>
          <w:lang w:val="ru-RU"/>
        </w:rPr>
        <w:t>-</w:t>
      </w:r>
      <w:r>
        <w:rPr>
          <w:rFonts w:cs="Arial"/>
          <w:szCs w:val="26"/>
        </w:rPr>
        <w:t> </w:t>
      </w:r>
      <w:r>
        <w:rPr>
          <w:rFonts w:cs="Arial"/>
          <w:szCs w:val="26"/>
          <w:lang w:val="ru-RU"/>
        </w:rPr>
        <w:t>индивидуальная усадебная застройка - 27,5 тыс. кв. м - 85%.</w:t>
      </w:r>
    </w:p>
    <w:p>
      <w:pPr>
        <w:pStyle w:val="Normal"/>
        <w:rPr>
          <w:rFonts w:cs="Arial"/>
          <w:szCs w:val="26"/>
          <w:lang w:val="ru-RU"/>
        </w:rPr>
      </w:pPr>
      <w:r>
        <w:rPr>
          <w:rFonts w:cs="Arial"/>
          <w:szCs w:val="26"/>
          <w:lang w:val="ru-RU"/>
        </w:rPr>
        <w:t>Из общего объема нового жилого фонда 19,1 тыс. кв. м общей площади планируется на свободных территориях (около 30 га), 12,2 тыс. кв. м - на уплотнении (или реконструкции) существующей застройки.</w:t>
      </w:r>
    </w:p>
    <w:p>
      <w:pPr>
        <w:pStyle w:val="Normal"/>
        <w:rPr>
          <w:rFonts w:cs="Arial"/>
          <w:szCs w:val="26"/>
          <w:lang w:val="ru-RU"/>
        </w:rPr>
      </w:pPr>
      <w:r>
        <w:rPr>
          <w:rFonts w:cs="Arial"/>
          <w:szCs w:val="26"/>
          <w:lang w:val="ru-RU"/>
        </w:rPr>
        <w:t>Строительство жилья на первую очередь строительства будет вестись в Восточном районе, на свободных территориях (там планируется разместить около 50</w:t>
      </w:r>
      <w:r>
        <w:rPr>
          <w:rFonts w:cs="Arial"/>
          <w:szCs w:val="26"/>
        </w:rPr>
        <w:t> </w:t>
      </w:r>
      <w:r>
        <w:rPr>
          <w:rFonts w:cs="Arial"/>
          <w:szCs w:val="26"/>
          <w:lang w:val="ru-RU"/>
        </w:rPr>
        <w:t>% всего объема жилого фонда), в Центральном районе планируется к строительству несколько двухэтажных многоквартирных домов, на уплотнении жилых кварталов и на свободной территории, общей площадью 4,8 тыс.</w:t>
      </w:r>
      <w:r>
        <w:rPr>
          <w:rFonts w:cs="Arial"/>
          <w:szCs w:val="26"/>
        </w:rPr>
        <w:t> </w:t>
      </w:r>
      <w:r>
        <w:rPr>
          <w:rFonts w:cs="Arial"/>
          <w:szCs w:val="26"/>
          <w:lang w:val="ru-RU"/>
        </w:rPr>
        <w:t>кв.</w:t>
      </w:r>
      <w:r>
        <w:rPr>
          <w:rFonts w:cs="Arial"/>
          <w:szCs w:val="26"/>
        </w:rPr>
        <w:t> </w:t>
      </w:r>
      <w:r>
        <w:rPr>
          <w:rFonts w:cs="Arial"/>
          <w:szCs w:val="26"/>
          <w:lang w:val="ru-RU"/>
        </w:rPr>
        <w:t>м. Остальной объем жилого фонда будет размещен на реконструкции жилых кварталов и существующих отводов под застройку, а также в центральной части поселка, в западном направлении от существующих жилых кварталов, до линии газопровода. Вынос газопровода с территории поселка планируется на расчетный срок, поэтому строительство в этой части поселка возможно отдельными участками.</w:t>
      </w:r>
    </w:p>
    <w:p>
      <w:pPr>
        <w:pStyle w:val="Normal"/>
        <w:rPr>
          <w:rFonts w:cs="Arial"/>
          <w:szCs w:val="26"/>
          <w:lang w:val="ru-RU"/>
        </w:rPr>
      </w:pPr>
      <w:r>
        <w:rPr>
          <w:rFonts w:cs="Arial"/>
          <w:szCs w:val="26"/>
          <w:lang w:val="ru-RU"/>
        </w:rPr>
        <w:t>Объем нового жилищного строительства по жилым районам составит:</w:t>
      </w:r>
    </w:p>
    <w:p>
      <w:pPr>
        <w:pStyle w:val="Normal"/>
        <w:rPr>
          <w:rFonts w:cs="Arial"/>
          <w:szCs w:val="26"/>
          <w:lang w:val="ru-RU"/>
        </w:rPr>
      </w:pPr>
      <w:r>
        <w:rPr>
          <w:rFonts w:cs="Arial"/>
          <w:szCs w:val="26"/>
          <w:lang w:val="ru-RU"/>
        </w:rPr>
        <w:t>-</w:t>
      </w:r>
      <w:r>
        <w:rPr>
          <w:rFonts w:cs="Arial"/>
          <w:szCs w:val="26"/>
        </w:rPr>
        <w:t> </w:t>
      </w:r>
      <w:r>
        <w:rPr>
          <w:rFonts w:cs="Arial"/>
          <w:szCs w:val="26"/>
          <w:lang w:val="ru-RU"/>
        </w:rPr>
        <w:t>Центральный - 12,3 тыс. кв. м - 38%;</w:t>
      </w:r>
    </w:p>
    <w:p>
      <w:pPr>
        <w:pStyle w:val="Normal"/>
        <w:rPr>
          <w:rFonts w:cs="Arial"/>
          <w:szCs w:val="26"/>
          <w:lang w:val="ru-RU"/>
        </w:rPr>
      </w:pPr>
      <w:r>
        <w:rPr>
          <w:rFonts w:cs="Arial"/>
          <w:szCs w:val="26"/>
          <w:lang w:val="ru-RU"/>
        </w:rPr>
        <w:t>-</w:t>
      </w:r>
      <w:r>
        <w:rPr>
          <w:rFonts w:cs="Arial"/>
          <w:szCs w:val="26"/>
        </w:rPr>
        <w:t> </w:t>
      </w:r>
      <w:r>
        <w:rPr>
          <w:rFonts w:cs="Arial"/>
          <w:szCs w:val="26"/>
          <w:lang w:val="ru-RU"/>
        </w:rPr>
        <w:t>Северный - 3,7 тыс. кв. м - 11,5%;</w:t>
      </w:r>
    </w:p>
    <w:p>
      <w:pPr>
        <w:pStyle w:val="Normal"/>
        <w:rPr>
          <w:rFonts w:cs="Arial"/>
          <w:szCs w:val="26"/>
          <w:lang w:val="ru-RU"/>
        </w:rPr>
      </w:pPr>
      <w:r>
        <w:rPr>
          <w:rFonts w:cs="Arial"/>
          <w:szCs w:val="26"/>
          <w:lang w:val="ru-RU"/>
        </w:rPr>
        <w:t>-</w:t>
      </w:r>
      <w:r>
        <w:rPr>
          <w:rFonts w:cs="Arial"/>
          <w:szCs w:val="26"/>
        </w:rPr>
        <w:t> </w:t>
      </w:r>
      <w:r>
        <w:rPr>
          <w:rFonts w:cs="Arial"/>
          <w:szCs w:val="26"/>
          <w:lang w:val="ru-RU"/>
        </w:rPr>
        <w:t>Восточный - 16,3 тыс. кв. м - 50,5%.</w:t>
      </w:r>
    </w:p>
    <w:p>
      <w:pPr>
        <w:pStyle w:val="Normal"/>
        <w:rPr>
          <w:rFonts w:cs="Arial"/>
          <w:szCs w:val="26"/>
          <w:lang w:val="ru-RU"/>
        </w:rPr>
      </w:pPr>
      <w:r>
        <w:rPr>
          <w:rFonts w:cs="Arial"/>
          <w:szCs w:val="26"/>
          <w:lang w:val="ru-RU"/>
        </w:rPr>
        <w:t>Для строительства потребуется около 45 га территорий, из них ориентировочно около 30 га - заболоченные, занятые кустарником и лесом. Более точный анализ характеристики территорий невозможен из-за отсутствия съемки отдельных площадей в границах проекта.</w:t>
      </w:r>
    </w:p>
    <w:p>
      <w:pPr>
        <w:pStyle w:val="Normal"/>
        <w:rPr>
          <w:rFonts w:cs="Arial"/>
          <w:szCs w:val="26"/>
          <w:lang w:val="ru-RU"/>
        </w:rPr>
      </w:pPr>
      <w:r>
        <w:rPr>
          <w:rFonts w:cs="Arial"/>
          <w:szCs w:val="26"/>
          <w:lang w:val="ru-RU"/>
        </w:rPr>
        <w:t>Убыль ветхого жилого фонда, а также из прибрежной полосы на первую очередь проектом не предусмотрена. Также не планируется к выносу жилой фонд, расположенный в пределах следующих улиц: Чебунтанская, Приозерская, Туртасская (2,4 тыс. кв. м), находящийся на затопляемой территории.</w:t>
      </w:r>
    </w:p>
    <w:p>
      <w:pPr>
        <w:pStyle w:val="Normal"/>
        <w:rPr>
          <w:rFonts w:cs="Arial"/>
          <w:szCs w:val="26"/>
          <w:lang w:val="ru-RU"/>
        </w:rPr>
      </w:pPr>
      <w:r>
        <w:rPr>
          <w:rFonts w:cs="Arial"/>
          <w:szCs w:val="26"/>
          <w:lang w:val="ru-RU"/>
        </w:rPr>
        <w:t>Стоимость жилищного строительства на первую очередь ориентировочно составит 520 - 750 млн. руб. при сложившихся ценах на строительство 1 кв. м жилого фонда.</w:t>
      </w:r>
    </w:p>
    <w:p>
      <w:pPr>
        <w:pStyle w:val="Normal"/>
        <w:rPr>
          <w:rFonts w:cs="Arial"/>
          <w:szCs w:val="26"/>
          <w:lang w:val="ru-RU"/>
        </w:rPr>
      </w:pPr>
      <w:r>
        <w:rPr>
          <w:rFonts w:cs="Arial"/>
          <w:szCs w:val="26"/>
          <w:lang w:val="ru-RU"/>
        </w:rPr>
        <w:t>На первую очередь численность населения составит 5,9 тыс. человек. Средняя обеспеченности жилым фондом - 24,2 кв. м/чел., в том числе в двухэтажных многоквартирных домах - 22,2 кв. м/чел.; в индивидуальной усадебной застройке - 37 - 38 кв. м/чел.</w:t>
      </w:r>
    </w:p>
    <w:p>
      <w:pPr>
        <w:pStyle w:val="Normal"/>
        <w:rPr>
          <w:rFonts w:cs="Arial"/>
          <w:szCs w:val="26"/>
          <w:lang w:val="ru-RU"/>
        </w:rPr>
      </w:pPr>
      <w:r>
        <w:rPr>
          <w:rFonts w:cs="Arial"/>
          <w:szCs w:val="26"/>
          <w:lang w:val="ru-RU"/>
        </w:rPr>
        <w:t>Следует отметить, что в настоящее время темпы жилищного строительства (за последние 16 лет среднегодовой ввод жилья составил 0,6 - 0,7 тыс. кв. м) недостаточны для освоения заданных проектом объемов жилого фонда, поэтому необходимы дополнительные инвестиции и финансирование.</w:t>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1</w:t>
      </w:r>
      <w:r>
        <w:fldChar w:fldCharType="end"/>
      </w:r>
      <w:r>
        <w:rPr>
          <w:rFonts w:cs="Arial"/>
          <w:iCs/>
          <w:szCs w:val="26"/>
          <w:lang w:val="ru-RU" w:eastAsia="zh-CN"/>
        </w:rPr>
        <w:t xml:space="preserve"> – Жилой фонд (первая очередь)</w:t>
      </w:r>
    </w:p>
    <w:tbl>
      <w:tblPr>
        <w:tblW w:w="10832" w:type="dxa"/>
        <w:jc w:val="left"/>
        <w:tblInd w:w="-77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20" w:type="dxa"/>
          <w:left w:w="220" w:type="dxa"/>
          <w:bottom w:w="120" w:type="dxa"/>
          <w:right w:w="240" w:type="dxa"/>
        </w:tblCellMar>
        <w:tblLook w:val="04a0"/>
      </w:tblPr>
      <w:tblGrid>
        <w:gridCol w:w="6311"/>
        <w:gridCol w:w="1315"/>
        <w:gridCol w:w="1356"/>
        <w:gridCol w:w="1849"/>
      </w:tblGrid>
      <w:tr>
        <w:trPr>
          <w:tblHeader w:val="true"/>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rPr>
            </w:pPr>
            <w:r>
              <w:rPr>
                <w:rFonts w:cs="Arial"/>
                <w:b/>
                <w:sz w:val="20"/>
                <w:szCs w:val="20"/>
              </w:rPr>
              <w:t>Показатели</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rPr>
            </w:pPr>
            <w:r>
              <w:rPr>
                <w:rFonts w:cs="Arial"/>
                <w:b/>
                <w:sz w:val="20"/>
                <w:szCs w:val="20"/>
              </w:rPr>
              <w:t>Всего</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rPr>
            </w:pPr>
            <w:r>
              <w:rPr>
                <w:rFonts w:cs="Arial"/>
                <w:b/>
                <w:sz w:val="20"/>
                <w:szCs w:val="20"/>
              </w:rPr>
              <w:t xml:space="preserve">2-3 </w:t>
            </w:r>
          </w:p>
          <w:p>
            <w:pPr>
              <w:pStyle w:val="Normal"/>
              <w:ind w:hanging="0"/>
              <w:jc w:val="center"/>
              <w:rPr>
                <w:rFonts w:cs="Arial"/>
                <w:b/>
                <w:b/>
                <w:sz w:val="20"/>
                <w:szCs w:val="20"/>
              </w:rPr>
            </w:pPr>
            <w:r>
              <w:rPr>
                <w:rFonts w:cs="Arial"/>
                <w:b/>
                <w:sz w:val="20"/>
                <w:szCs w:val="20"/>
              </w:rPr>
              <w:t>этажный</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rPr>
            </w:pPr>
            <w:r>
              <w:rPr>
                <w:rFonts w:cs="Arial"/>
                <w:b/>
                <w:sz w:val="20"/>
                <w:szCs w:val="20"/>
              </w:rPr>
              <w:t>одноэтажный</w:t>
            </w:r>
          </w:p>
        </w:tc>
      </w:tr>
      <w:tr>
        <w:trPr>
          <w:trHeight w:val="21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1</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2</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3</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4</w:t>
            </w:r>
          </w:p>
        </w:tc>
      </w:tr>
      <w:tr>
        <w:trPr>
          <w:trHeight w:val="25"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Всего</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1. Жилой фонд, тыс. кв. м общей площади</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143,0</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51,2</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91,8</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 Население, тыс. чел.</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5,9</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2,33</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3,57</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 в том числе в новом жилом фонде</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0,9</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0,2</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0,7</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3. Средняя обеспеченность жилым фондом кв. м/чел.</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24,2</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4. Новое жилищное строительство, тыс. кв. м общей площади/га</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32,3/44,6</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4,8/3,3</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27,5/41,3</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В том числе:</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на свободных территориях</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19,1/29,5</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17/0,9</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18,4/28,6</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 на уплотнении существующих жилых кварталов</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12,2/15,1</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3,1/2,3</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9,1/12,8</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5. Существующий сохраняемый жилой фонд, тыс. кв. м общей площади/тыс. чел.</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110,7</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46,4</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64,3</w:t>
            </w:r>
          </w:p>
        </w:tc>
      </w:tr>
      <w:tr>
        <w:trPr>
          <w:trHeight w:val="170" w:hRule="atLeast"/>
        </w:trPr>
        <w:tc>
          <w:tcPr>
            <w:tcW w:w="108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lang w:val="ru-RU"/>
              </w:rPr>
            </w:pPr>
            <w:r>
              <w:rPr>
                <w:rFonts w:cs="Arial"/>
                <w:sz w:val="20"/>
                <w:szCs w:val="20"/>
                <w:lang w:val="ru-RU"/>
              </w:rPr>
              <w:t>Распределение жилого фонда по районам:</w:t>
            </w:r>
          </w:p>
        </w:tc>
      </w:tr>
      <w:tr>
        <w:trPr>
          <w:trHeight w:val="170" w:hRule="atLeast"/>
        </w:trPr>
        <w:tc>
          <w:tcPr>
            <w:tcW w:w="108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Центральный жилой район</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1. Жилой фонд - всего тыс. кв. м общей площади</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55,6</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39,4</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16,2</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 Население, тыс. чел.</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2,35</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1,8</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0,55</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 в том числе в новом жилом фонде</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0,2</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0,15</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3. Новое жилищное строительство, тыс. кв. м общей площади/га</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12,3/16,8</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4,8/3,2</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7,5/13,6</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в том числе:</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на свободных территориях</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6,2/9,6</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1,7/0,9</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4,5/8,7</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 на уплотнении существующих жилых кварталов</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6,1/7,2</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3,1/2,3</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3,0/4,9</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4. Существующий сохраняемый жилой фонд, тыс. кв. м общей площади/тыс. чел.</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43,3/2,0</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34,6/1,6</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8,7/0,4</w:t>
            </w:r>
          </w:p>
        </w:tc>
      </w:tr>
      <w:tr>
        <w:trPr>
          <w:trHeight w:val="170" w:hRule="atLeast"/>
        </w:trPr>
        <w:tc>
          <w:tcPr>
            <w:tcW w:w="108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Восточный жилой район</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1. Жилой фонд - всего тыс. кв. м общей площади</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33,8</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33,8</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 Население, тыс. чел.</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1,22</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1,22</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 в том числе в новом жилом фонде</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0,43</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0,43</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3. Новое жилищное строительство, тыс. кв. м общей площади/га</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16,3/22,6</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16,3/22,6</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В том числе:</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на свободных территориях</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12,7/17,9</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12,7/17,9</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 на уплотнении существующих жилых кварталов</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3,6/4,7</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3,6/4,7</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4. Существующий сохраняемый жилой фонд, тыс. кв. м общей площади/тыс. чел.</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17,5/0,8</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17,5/0,8</w:t>
            </w:r>
          </w:p>
        </w:tc>
      </w:tr>
      <w:tr>
        <w:trPr>
          <w:trHeight w:val="170" w:hRule="atLeast"/>
        </w:trPr>
        <w:tc>
          <w:tcPr>
            <w:tcW w:w="108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Северный жилой район</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1. Жилой фонд - всего тыс. кв. м общей площади</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38,2</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38,2</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 Население, тыс. чел.</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1,64</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1,64</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 в том числе в новом жилом фонде</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0,1</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0,1</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3. Новое жилищное строительство, тыс. кв. м общей площади/га</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3,7/5,2</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3,7/5,2</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 в том числе на уплотнении существующих жилых кварталов</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3,7/5,2</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3,7/5,2</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4. Существующий сохраняемый жилой фонд, тыс. кв. м общей площади/тыс. чел.</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34,5/1,51</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34,5/1,51</w:t>
            </w:r>
          </w:p>
        </w:tc>
      </w:tr>
      <w:tr>
        <w:trPr>
          <w:trHeight w:val="170" w:hRule="atLeast"/>
        </w:trPr>
        <w:tc>
          <w:tcPr>
            <w:tcW w:w="108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lang w:val="ru-RU"/>
              </w:rPr>
              <w:t>район, расположенный около железнодорожной станции Юность Комсомольская (далее по тексту – ст.</w:t>
            </w:r>
            <w:r>
              <w:rPr>
                <w:rFonts w:cs="Arial"/>
                <w:sz w:val="20"/>
                <w:szCs w:val="20"/>
              </w:rPr>
              <w:t> Юность Комсомольская)</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1. Жилой фонд - всего тыс. кв. м общей площади</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13,0</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11,8</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 Население, тыс. чел.</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0,58</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0,53</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0,05</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3. Существующий сохраняемый жилой фонд, тыс. кв. м общей площади</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13,0</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11,8</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w:t>
            </w:r>
          </w:p>
        </w:tc>
      </w:tr>
      <w:tr>
        <w:trPr>
          <w:trHeight w:val="170" w:hRule="atLeast"/>
        </w:trPr>
        <w:tc>
          <w:tcPr>
            <w:tcW w:w="108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lang w:val="ru-RU"/>
              </w:rPr>
            </w:pPr>
            <w:r>
              <w:rPr>
                <w:rFonts w:cs="Arial"/>
                <w:sz w:val="20"/>
                <w:szCs w:val="20"/>
                <w:lang w:val="ru-RU"/>
              </w:rPr>
              <w:t>Район в границах улиц Чебунтанская, Приозерная, Туртасская</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1. Жилой фонд - всего тыс. кв. м общей площади</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2,4</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2,4</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 Население, тыс. чел.</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0,11</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0,11</w:t>
            </w:r>
          </w:p>
        </w:tc>
      </w:tr>
      <w:tr>
        <w:trPr>
          <w:trHeight w:val="170" w:hRule="atLeast"/>
        </w:trPr>
        <w:tc>
          <w:tcPr>
            <w:tcW w:w="6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3. Существующий сохраняемый жилой фонд, тыс. кв. м общей площади</w:t>
            </w:r>
          </w:p>
        </w:tc>
        <w:tc>
          <w:tcPr>
            <w:tcW w:w="13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2,4</w:t>
            </w:r>
          </w:p>
        </w:tc>
        <w:tc>
          <w:tcPr>
            <w:tcW w:w="13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w:t>
            </w:r>
          </w:p>
        </w:tc>
        <w:tc>
          <w:tcPr>
            <w:tcW w:w="1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2,4</w:t>
            </w:r>
          </w:p>
        </w:tc>
      </w:tr>
    </w:tbl>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t>На расчетный срок население поселка определено в количестве 6,5 тыс. человек. Жилой фонд в границах проектируемой территории составит 186,5 тыс. м2 общей площади, в том числе:</w:t>
      </w:r>
    </w:p>
    <w:p>
      <w:pPr>
        <w:pStyle w:val="Normal"/>
        <w:rPr>
          <w:rFonts w:cs="Arial"/>
          <w:szCs w:val="26"/>
          <w:lang w:val="ru-RU"/>
        </w:rPr>
      </w:pPr>
      <w:r>
        <w:rPr>
          <w:rFonts w:cs="Arial"/>
          <w:szCs w:val="26"/>
          <w:lang w:val="ru-RU"/>
        </w:rPr>
        <w:t>- новое жилищное строительство - 94,0 тыс. кв. м;</w:t>
      </w:r>
    </w:p>
    <w:p>
      <w:pPr>
        <w:pStyle w:val="Normal"/>
        <w:rPr>
          <w:rFonts w:cs="Arial"/>
          <w:szCs w:val="26"/>
          <w:lang w:val="ru-RU"/>
        </w:rPr>
      </w:pPr>
      <w:r>
        <w:rPr>
          <w:rFonts w:cs="Arial"/>
          <w:szCs w:val="26"/>
          <w:lang w:val="ru-RU"/>
        </w:rPr>
        <w:t>- существующий сохраняемый жилой фонд - 92,5 тыс. кв. м.</w:t>
      </w:r>
    </w:p>
    <w:p>
      <w:pPr>
        <w:pStyle w:val="Normal"/>
        <w:rPr>
          <w:rFonts w:cs="Arial"/>
          <w:szCs w:val="26"/>
          <w:lang w:val="ru-RU"/>
        </w:rPr>
      </w:pPr>
      <w:r>
        <w:rPr>
          <w:rFonts w:cs="Arial"/>
          <w:szCs w:val="26"/>
          <w:lang w:val="ru-RU"/>
        </w:rPr>
        <w:t>Структура этажности в новом строительстве определена в следующем соотношении:</w:t>
      </w:r>
    </w:p>
    <w:p>
      <w:pPr>
        <w:pStyle w:val="Normal"/>
        <w:rPr>
          <w:rFonts w:cs="Arial"/>
          <w:szCs w:val="26"/>
          <w:lang w:val="ru-RU"/>
        </w:rPr>
      </w:pPr>
      <w:r>
        <w:rPr>
          <w:rFonts w:cs="Arial"/>
          <w:szCs w:val="26"/>
          <w:lang w:val="ru-RU"/>
        </w:rPr>
        <w:t>- двухэтажная многоквартирная застройка - 23,6 тыс. кв. м - 25%;</w:t>
      </w:r>
    </w:p>
    <w:p>
      <w:pPr>
        <w:pStyle w:val="Normal"/>
        <w:rPr>
          <w:rFonts w:cs="Arial"/>
          <w:szCs w:val="26"/>
          <w:lang w:val="ru-RU"/>
        </w:rPr>
      </w:pPr>
      <w:r>
        <w:rPr>
          <w:rFonts w:cs="Arial"/>
          <w:szCs w:val="26"/>
          <w:lang w:val="ru-RU"/>
        </w:rPr>
        <w:t>- индивидуальная усадебная застройка - 70,4 тыс. кв. м - 75%;</w:t>
      </w:r>
    </w:p>
    <w:p>
      <w:pPr>
        <w:pStyle w:val="Normal"/>
        <w:rPr>
          <w:rFonts w:cs="Arial"/>
          <w:szCs w:val="26"/>
          <w:lang w:val="ru-RU"/>
        </w:rPr>
      </w:pPr>
      <w:r>
        <w:rPr>
          <w:rFonts w:cs="Arial"/>
          <w:szCs w:val="26"/>
          <w:lang w:val="ru-RU"/>
        </w:rPr>
        <w:t>с участками 0,12 - 0,15 га.</w:t>
      </w:r>
    </w:p>
    <w:p>
      <w:pPr>
        <w:pStyle w:val="Normal"/>
        <w:rPr>
          <w:rFonts w:cs="Arial"/>
          <w:szCs w:val="26"/>
          <w:lang w:val="ru-RU"/>
        </w:rPr>
      </w:pPr>
      <w:r>
        <w:rPr>
          <w:rFonts w:cs="Arial"/>
          <w:szCs w:val="26"/>
          <w:lang w:val="ru-RU"/>
        </w:rPr>
        <w:t>Селитебную территорию поселка можно условно разделить на жилые районы: Северный, Центральный, Восточный и ст. Юность Комсомольская. Объем нового жилищного строительства по районам составит:</w:t>
      </w:r>
    </w:p>
    <w:p>
      <w:pPr>
        <w:pStyle w:val="Normal"/>
        <w:rPr>
          <w:rFonts w:cs="Arial"/>
          <w:szCs w:val="26"/>
          <w:lang w:val="ru-RU"/>
        </w:rPr>
      </w:pPr>
      <w:r>
        <w:rPr>
          <w:rFonts w:cs="Arial"/>
          <w:szCs w:val="26"/>
          <w:lang w:val="ru-RU"/>
        </w:rPr>
        <w:t>- Северный - 3,7 тыс. кв. м общей площади - 4%;</w:t>
      </w:r>
    </w:p>
    <w:p>
      <w:pPr>
        <w:pStyle w:val="Normal"/>
        <w:rPr>
          <w:rFonts w:cs="Arial"/>
          <w:szCs w:val="26"/>
          <w:lang w:val="ru-RU"/>
        </w:rPr>
      </w:pPr>
      <w:r>
        <w:rPr>
          <w:rFonts w:cs="Arial"/>
          <w:szCs w:val="26"/>
          <w:lang w:val="ru-RU"/>
        </w:rPr>
        <w:t>- Центральный - 67,1 тыс. кв. м - 71%;</w:t>
      </w:r>
    </w:p>
    <w:p>
      <w:pPr>
        <w:pStyle w:val="Normal"/>
        <w:rPr>
          <w:rFonts w:cs="Arial"/>
          <w:szCs w:val="26"/>
          <w:lang w:val="ru-RU"/>
        </w:rPr>
      </w:pPr>
      <w:r>
        <w:rPr>
          <w:rFonts w:cs="Arial"/>
          <w:szCs w:val="26"/>
          <w:lang w:val="ru-RU"/>
        </w:rPr>
        <w:t>- Восточный - 18,6 тыс. кв. м - 20%;</w:t>
      </w:r>
    </w:p>
    <w:p>
      <w:pPr>
        <w:pStyle w:val="Normal"/>
        <w:rPr>
          <w:rFonts w:cs="Arial"/>
          <w:szCs w:val="26"/>
          <w:lang w:val="ru-RU"/>
        </w:rPr>
      </w:pPr>
      <w:r>
        <w:rPr>
          <w:rFonts w:cs="Arial"/>
          <w:szCs w:val="26"/>
          <w:lang w:val="ru-RU"/>
        </w:rPr>
        <w:t>- ст. Юность Комсомольская - 4,6 тыс. кв. м - 5%.</w:t>
      </w:r>
    </w:p>
    <w:p>
      <w:pPr>
        <w:pStyle w:val="Normal"/>
        <w:rPr>
          <w:rFonts w:cs="Arial"/>
          <w:szCs w:val="26"/>
          <w:lang w:val="ru-RU"/>
        </w:rPr>
      </w:pPr>
      <w:r>
        <w:rPr>
          <w:rFonts w:cs="Arial"/>
          <w:szCs w:val="26"/>
          <w:lang w:val="ru-RU"/>
        </w:rPr>
        <w:t>Наибольшие объемы строительства на расчетный срок планируется разместить в жилом районе "Центральный". Там предполагается к строительству 67,1 тыс. кв. м общей площади (71% от всего объема), в том числе:</w:t>
      </w:r>
    </w:p>
    <w:p>
      <w:pPr>
        <w:pStyle w:val="Normal"/>
        <w:rPr>
          <w:rFonts w:cs="Arial"/>
          <w:szCs w:val="26"/>
          <w:lang w:val="ru-RU"/>
        </w:rPr>
      </w:pPr>
      <w:r>
        <w:rPr>
          <w:rFonts w:cs="Arial"/>
          <w:szCs w:val="26"/>
          <w:lang w:val="ru-RU"/>
        </w:rPr>
        <w:t>- двухэтажные многоквартирные жилые дома - 23,6 тыс. кв. м;</w:t>
      </w:r>
    </w:p>
    <w:p>
      <w:pPr>
        <w:pStyle w:val="Normal"/>
        <w:rPr>
          <w:rFonts w:cs="Arial"/>
          <w:szCs w:val="26"/>
          <w:lang w:val="ru-RU"/>
        </w:rPr>
      </w:pPr>
      <w:r>
        <w:rPr>
          <w:rFonts w:cs="Arial"/>
          <w:szCs w:val="26"/>
          <w:lang w:val="ru-RU"/>
        </w:rPr>
        <w:t>- одноэтажная индивидуальная застройка - 43,5 тыс. кв. м.</w:t>
      </w:r>
    </w:p>
    <w:p>
      <w:pPr>
        <w:pStyle w:val="Normal"/>
        <w:rPr>
          <w:rFonts w:cs="Arial"/>
          <w:szCs w:val="26"/>
          <w:lang w:val="ru-RU"/>
        </w:rPr>
      </w:pPr>
      <w:r>
        <w:rPr>
          <w:rFonts w:cs="Arial"/>
          <w:szCs w:val="26"/>
          <w:lang w:val="ru-RU"/>
        </w:rPr>
        <w:t>Основная часть двухэтажного жилого фонда (17,6 тыс. кв. м общей площади) планируется к размещению на сносе ветхого жилья, в центральной части поселка, в районе улиц Ленина - Октябрьская - Победы. Несколько двухэтажных домов общей площадью около 4,3 тыс. кв. м будет построено на уплотнении существующих кварталов, что позволит сделать акцент на формировании культурно-общественного центра поселка. В западной части поселка, на свободных территориях, прилегающих к центру (ул. Ленина, Газовиков), проектом размещено 20,2 тыс. кв. м общей площади одноэтажной усадебной застройки. Территория жилых кварталов составит 28 - 30 га. Количество приусадебных участков - около 170, при площади одного участка 0,12 - 0,15 га. Численность населения ориентировочно составит 0,54 тыс. человек.</w:t>
      </w:r>
    </w:p>
    <w:p>
      <w:pPr>
        <w:pStyle w:val="Normal"/>
        <w:rPr>
          <w:rFonts w:cs="Arial"/>
          <w:szCs w:val="26"/>
          <w:lang w:val="ru-RU"/>
        </w:rPr>
      </w:pPr>
      <w:r>
        <w:rPr>
          <w:rFonts w:cs="Arial"/>
          <w:szCs w:val="26"/>
          <w:lang w:val="ru-RU"/>
        </w:rPr>
        <w:t>Убыль существующего жилого фонда в течение расчетного срока определена в количестве 18,2 тыс. кв. м общей площади, в том числе двухэтажный - 12,3 тыс. кв. м, одноэтажный - 5,9 тыс. кв. м.</w:t>
      </w:r>
    </w:p>
    <w:p>
      <w:pPr>
        <w:pStyle w:val="Normal"/>
        <w:rPr>
          <w:rFonts w:cs="Arial"/>
          <w:szCs w:val="26"/>
          <w:lang w:val="ru-RU"/>
        </w:rPr>
      </w:pPr>
      <w:r>
        <w:rPr>
          <w:rFonts w:cs="Arial"/>
          <w:szCs w:val="26"/>
          <w:lang w:val="ru-RU"/>
        </w:rPr>
        <w:t>По назначению убыль жилого фонда распределится следующим образом:</w:t>
      </w:r>
    </w:p>
    <w:p>
      <w:pPr>
        <w:pStyle w:val="Normal"/>
        <w:rPr>
          <w:rFonts w:cs="Arial"/>
          <w:szCs w:val="26"/>
          <w:lang w:val="ru-RU"/>
        </w:rPr>
      </w:pPr>
      <w:r>
        <w:rPr>
          <w:rFonts w:cs="Arial"/>
          <w:szCs w:val="26"/>
          <w:lang w:val="ru-RU"/>
        </w:rPr>
        <w:t>- ветхий (двухэтажные многоквартирные дома, общежитие) - 12,3 тыс. кв. м;</w:t>
      </w:r>
    </w:p>
    <w:p>
      <w:pPr>
        <w:pStyle w:val="Normal"/>
        <w:rPr>
          <w:rFonts w:cs="Arial"/>
          <w:szCs w:val="26"/>
          <w:lang w:val="ru-RU"/>
        </w:rPr>
      </w:pPr>
      <w:r>
        <w:rPr>
          <w:rFonts w:cs="Arial"/>
          <w:szCs w:val="26"/>
          <w:lang w:val="ru-RU"/>
        </w:rPr>
        <w:t>- находящийся в прибрежной полосе - 3,5 тыс. кв. м;</w:t>
      </w:r>
    </w:p>
    <w:p>
      <w:pPr>
        <w:pStyle w:val="Normal"/>
        <w:rPr>
          <w:rFonts w:cs="Arial"/>
          <w:szCs w:val="26"/>
          <w:lang w:val="ru-RU"/>
        </w:rPr>
      </w:pPr>
      <w:r>
        <w:rPr>
          <w:rFonts w:cs="Arial"/>
          <w:szCs w:val="26"/>
          <w:lang w:val="ru-RU"/>
        </w:rPr>
        <w:t>- на затопляемой территории (жилой фонд, расположенный в границах улиц Приозерская, Чебунтанская, Туртасская) - 2,4 тыс. кв. м.</w:t>
      </w:r>
    </w:p>
    <w:p>
      <w:pPr>
        <w:pStyle w:val="Normal"/>
        <w:rPr>
          <w:rFonts w:cs="Arial"/>
          <w:szCs w:val="26"/>
          <w:lang w:val="ru-RU"/>
        </w:rPr>
      </w:pPr>
      <w:r>
        <w:rPr>
          <w:rFonts w:cs="Arial"/>
          <w:szCs w:val="26"/>
          <w:lang w:val="ru-RU"/>
        </w:rPr>
        <w:t>Отношение общей убыли к существующему жилому фонду составит - 16,4%, к новому строительству - 19,4%. Жилой фонд, попадающий в санитарно-защитную зону от нефтепровода (5,7 тыс. кв. м), к убыли не планируется, т.к. предусмотрены соответствующие инженерные мероприятия.</w:t>
      </w:r>
    </w:p>
    <w:p>
      <w:pPr>
        <w:pStyle w:val="Normal"/>
        <w:rPr/>
      </w:pPr>
      <w:r>
        <w:rPr>
          <w:rFonts w:cs="Arial"/>
          <w:szCs w:val="26"/>
          <w:lang w:val="ru-RU"/>
        </w:rPr>
        <w:t xml:space="preserve">Структура жилого фонда к концу расчетного срока характеризуется данными, представленными в </w:t>
      </w:r>
      <w:r>
        <w:rPr>
          <w:rFonts w:cs="Arial"/>
          <w:szCs w:val="26"/>
          <w:lang w:val="ru-RU"/>
        </w:rPr>
        <w:fldChar w:fldCharType="begin"/>
      </w:r>
      <w:r>
        <w:instrText> REF _Ref392583914 \h </w:instrText>
      </w:r>
      <w:r>
        <w:fldChar w:fldCharType="separate"/>
      </w:r>
      <w:r>
        <w:t>Таблица 2</w:t>
      </w:r>
      <w:r>
        <w:fldChar w:fldCharType="end"/>
      </w:r>
      <w:r>
        <w:rPr>
          <w:rFonts w:cs="Arial"/>
          <w:szCs w:val="26"/>
          <w:lang w:val="ru-RU"/>
        </w:rPr>
        <w:t>.</w:t>
      </w:r>
    </w:p>
    <w:p>
      <w:pPr>
        <w:pStyle w:val="Normal"/>
        <w:ind w:hanging="0"/>
        <w:jc w:val="left"/>
        <w:rPr>
          <w:rFonts w:cs="Arial"/>
          <w:szCs w:val="26"/>
          <w:lang w:val="ru-RU"/>
        </w:rPr>
      </w:pPr>
      <w:r>
        <w:rPr>
          <w:rFonts w:cs="Arial"/>
          <w:szCs w:val="26"/>
          <w:lang w:val="ru-RU"/>
        </w:rPr>
      </w:r>
      <w:r>
        <w:br w:type="page"/>
      </w:r>
    </w:p>
    <w:p>
      <w:pPr>
        <w:pStyle w:val="Normal"/>
        <w:suppressLineNumbers/>
        <w:suppressAutoHyphens w:val="true"/>
        <w:jc w:val="right"/>
        <w:textAlignment w:val="baseline"/>
        <w:rPr/>
      </w:pPr>
      <w:bookmarkStart w:id="9" w:name="_Ref392583914"/>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2</w:t>
      </w:r>
      <w:r>
        <w:fldChar w:fldCharType="end"/>
      </w:r>
      <w:bookmarkEnd w:id="9"/>
      <w:r>
        <w:rPr>
          <w:rFonts w:cs="Arial"/>
          <w:iCs/>
          <w:szCs w:val="26"/>
          <w:lang w:val="ru-RU" w:eastAsia="zh-CN"/>
        </w:rPr>
        <w:t xml:space="preserve"> – Жилой фонд </w:t>
      </w:r>
      <w:r>
        <w:rPr>
          <w:rFonts w:cs="Arial"/>
          <w:b/>
          <w:iCs/>
          <w:szCs w:val="26"/>
          <w:lang w:val="ru-RU" w:eastAsia="zh-CN"/>
        </w:rPr>
        <w:t>(расчетный срок 2021-2030г)</w:t>
      </w:r>
    </w:p>
    <w:tbl>
      <w:tblPr>
        <w:tblW w:w="10632" w:type="dxa"/>
        <w:jc w:val="left"/>
        <w:tblInd w:w="-6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20" w:type="dxa"/>
          <w:left w:w="220" w:type="dxa"/>
          <w:bottom w:w="120" w:type="dxa"/>
          <w:right w:w="240" w:type="dxa"/>
        </w:tblCellMar>
        <w:tblLook w:val="04a0"/>
      </w:tblPr>
      <w:tblGrid>
        <w:gridCol w:w="5095"/>
        <w:gridCol w:w="1709"/>
        <w:gridCol w:w="1653"/>
        <w:gridCol w:w="2174"/>
      </w:tblGrid>
      <w:tr>
        <w:trPr>
          <w:tblHeader w:val="true"/>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rPr>
            </w:pPr>
            <w:r>
              <w:rPr>
                <w:rFonts w:cs="Arial"/>
                <w:b/>
                <w:sz w:val="20"/>
                <w:szCs w:val="20"/>
              </w:rPr>
              <w:t>Показатели</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rPr>
            </w:pPr>
            <w:r>
              <w:rPr>
                <w:rFonts w:cs="Arial"/>
                <w:b/>
                <w:sz w:val="20"/>
                <w:szCs w:val="20"/>
              </w:rPr>
              <w:t>Всего</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rPr>
            </w:pPr>
            <w:r>
              <w:rPr>
                <w:rFonts w:cs="Arial"/>
                <w:b/>
                <w:sz w:val="20"/>
                <w:szCs w:val="20"/>
              </w:rPr>
              <w:t>2-3</w:t>
            </w:r>
          </w:p>
          <w:p>
            <w:pPr>
              <w:pStyle w:val="Normal"/>
              <w:ind w:hanging="0"/>
              <w:jc w:val="center"/>
              <w:rPr>
                <w:rFonts w:cs="Arial"/>
                <w:b/>
                <w:b/>
                <w:sz w:val="20"/>
                <w:szCs w:val="20"/>
              </w:rPr>
            </w:pPr>
            <w:r>
              <w:rPr>
                <w:rFonts w:cs="Arial"/>
                <w:b/>
                <w:sz w:val="20"/>
                <w:szCs w:val="20"/>
              </w:rPr>
              <w:t>этажная</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rPr>
            </w:pPr>
            <w:r>
              <w:rPr>
                <w:rFonts w:cs="Arial"/>
                <w:b/>
                <w:sz w:val="20"/>
                <w:szCs w:val="20"/>
              </w:rPr>
              <w:t>одноэтажная</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w:t>
            </w:r>
          </w:p>
        </w:tc>
      </w:tr>
      <w:tr>
        <w:trPr>
          <w:trHeight w:val="170" w:hRule="atLeast"/>
        </w:trPr>
        <w:tc>
          <w:tcPr>
            <w:tcW w:w="106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Всего в поселке:</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1. Жилой фонд, тыс. кв. м общей</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186,5</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70,4</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116,1</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 Население, тыс. чел.</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6,5</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2,35</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4,15</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В том числе в новом жилом фонде</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2,77</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0,96</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1,81</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3. Новое жилищное строительство, тыс. кв. м общей площади/га</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94,0/107,0</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23,6/11,5</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70,4/95,5</w:t>
            </w:r>
          </w:p>
        </w:tc>
      </w:tr>
      <w:tr>
        <w:trPr>
          <w:trHeight w:val="170" w:hRule="atLeast"/>
        </w:trPr>
        <w:tc>
          <w:tcPr>
            <w:tcW w:w="106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В том числе:</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на сносе ветхого жилья</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17,6/8,0</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17,6/8,0</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на свободных территориях</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60,3/81,0</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1,7/1,0</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58,6/80,0</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 на уплотнении жилых кварталов и существующих отводах под застройку</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16,1/18,0</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4,3/2,5</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11,8/15,5</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4. Существующий сохраняемый жилой фонд, тыс. кв. м общей</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92,5</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34,1</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58,4</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5. Убыль жилого фонда, тыс. кв. м общей площади</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18,2</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12,3</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5,9</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В том числе:</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ветхий</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12,3</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12,3</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в прибрежной полосе</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3,5</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3,5</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на затопляемой территории</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2,4</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2,4</w:t>
            </w:r>
          </w:p>
        </w:tc>
      </w:tr>
      <w:tr>
        <w:trPr>
          <w:trHeight w:val="170" w:hRule="atLeast"/>
        </w:trPr>
        <w:tc>
          <w:tcPr>
            <w:tcW w:w="106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lang w:val="ru-RU"/>
              </w:rPr>
            </w:pPr>
            <w:r>
              <w:rPr>
                <w:rFonts w:cs="Arial"/>
                <w:sz w:val="20"/>
                <w:szCs w:val="20"/>
                <w:lang w:val="ru-RU"/>
              </w:rPr>
              <w:t>Распределение жилого фонда по районам:</w:t>
            </w:r>
          </w:p>
        </w:tc>
      </w:tr>
      <w:tr>
        <w:trPr>
          <w:trHeight w:val="170" w:hRule="atLeast"/>
        </w:trPr>
        <w:tc>
          <w:tcPr>
            <w:tcW w:w="106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Центральный жилой район</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1. Жилой фонд - всего тыс. кв. м общей площади</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98,1</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45,9</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52,2</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 Население, тыс. чел.</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3,35</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1,86</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1,49</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В том числе в новом жилом фонде</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2,1</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0,96</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1,14</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3. Новое жилищное строительство, тыс. кв. м общей площади/га</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67,1/68,0</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23,6/10,5</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43,5/57,5</w:t>
            </w:r>
          </w:p>
        </w:tc>
      </w:tr>
      <w:tr>
        <w:trPr>
          <w:trHeight w:val="170" w:hRule="atLeast"/>
        </w:trPr>
        <w:tc>
          <w:tcPr>
            <w:tcW w:w="106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в том числе:</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 на сносе ветхого жилого фонда</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17,6/8,0</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17,6/8,0</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 на свободных территориях и существующих отводах под строительство</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49,5/60,0</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6,0/2,5</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43,5/57,5</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4. Существующий сохраняемый жилой фонд, тыс. кв. м общей</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31,0/1,25</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22,3/0,9</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8,7/0,35</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5. Убыль жилого фонда, тыс. кв. м общей площади</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12,3</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12,3</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r>
      <w:tr>
        <w:trPr>
          <w:trHeight w:val="170" w:hRule="atLeast"/>
        </w:trPr>
        <w:tc>
          <w:tcPr>
            <w:tcW w:w="106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Восточный жилой район</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1. Жилой фонд - всего тыс. кв. м общей площади</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35,6</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35,6</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 Население, тыс. чел.</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1,15</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В том числе в новом жилом фонде</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0,49</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3. Новое жилищное строительство, тыс. кв. м общей площади/га</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18,6/27</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18,6/27</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4. Существующий сохраняемый жилой фонд, тыс. кв. м общей</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17,0/0,66</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17,0/0,66</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5. Убыль жилого фонда, тыс. кв. м общей площади</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1,0</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1,0</w:t>
            </w:r>
          </w:p>
        </w:tc>
      </w:tr>
      <w:tr>
        <w:trPr>
          <w:trHeight w:val="170" w:hRule="atLeast"/>
        </w:trPr>
        <w:tc>
          <w:tcPr>
            <w:tcW w:w="106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Северный жилой район</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1. Жилой фонд - всего тыс. кв. м общей площади</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35,2</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35,2</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 Население, тыс. чел.</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1,37</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В том числе в новом жилом фонде</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0,1</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3. Новое жилищное строительство, тыс. кв. м общей площади/га (на отводах и уплотнении существующей</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3,7/5,3</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3,7/5,3</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4. Существующий сохраняемый жилой фонд, тыс. кв. м общей</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31,5/1,27</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31,5/1,27</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5. Убыль жилого фонда, тыс. кв. м общей площади</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2,5</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2,5</w:t>
            </w:r>
          </w:p>
        </w:tc>
      </w:tr>
      <w:tr>
        <w:trPr>
          <w:trHeight w:val="170" w:hRule="atLeast"/>
        </w:trPr>
        <w:tc>
          <w:tcPr>
            <w:tcW w:w="10631"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jc w:val="center"/>
              <w:rPr>
                <w:rFonts w:cs="Arial"/>
                <w:sz w:val="20"/>
                <w:szCs w:val="20"/>
              </w:rPr>
            </w:pPr>
            <w:r>
              <w:rPr>
                <w:rFonts w:cs="Arial"/>
                <w:sz w:val="20"/>
                <w:szCs w:val="20"/>
              </w:rPr>
              <w:t>ст. Юность Комсомольская</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1. Жилой фонд - всего тыс. кв. м общей площади</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17,5</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11,8</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5,7</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2. Население, тыс. чел.</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0,63</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0,48</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0,15</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В том числе в новом жилом фонде</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0,11</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3. Новое жилищное строительство, тыс. кв. м общей площади/га</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4,6/6,5</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4,6/6,5</w:t>
            </w:r>
          </w:p>
        </w:tc>
      </w:tr>
      <w:tr>
        <w:trPr>
          <w:trHeight w:val="170" w:hRule="atLeast"/>
        </w:trPr>
        <w:tc>
          <w:tcPr>
            <w:tcW w:w="50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lang w:val="ru-RU"/>
              </w:rPr>
              <w:t>4. Существующий сохраняемый жилой фонд, тыс. кв. м общей</w:t>
            </w:r>
          </w:p>
        </w:tc>
        <w:tc>
          <w:tcPr>
            <w:tcW w:w="17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13,0/0,52</w:t>
            </w:r>
          </w:p>
        </w:tc>
        <w:tc>
          <w:tcPr>
            <w:tcW w:w="16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11,8/0,48</w:t>
            </w:r>
          </w:p>
        </w:tc>
        <w:tc>
          <w:tcPr>
            <w:tcW w:w="21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1,2/0,04</w:t>
            </w:r>
          </w:p>
        </w:tc>
      </w:tr>
    </w:tbl>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t>Как видно из вышеприведенной таблицы, основной объем нового жилого фонда размещается на свободных от застройки территориях - 60,3 тыс. кв. м общей площади, что составляет 64% от всего объема. Площадь свободных территорий составляет 81,0 га, часть из них заболочена, занята лугом и кустарником, частично лесом.</w:t>
      </w:r>
    </w:p>
    <w:p>
      <w:pPr>
        <w:pStyle w:val="Normal"/>
        <w:rPr>
          <w:rFonts w:cs="Arial"/>
          <w:szCs w:val="26"/>
          <w:lang w:val="ru-RU"/>
        </w:rPr>
      </w:pPr>
      <w:r>
        <w:rPr>
          <w:rFonts w:cs="Arial"/>
          <w:szCs w:val="26"/>
          <w:lang w:val="ru-RU"/>
        </w:rPr>
        <w:t>Потребность в жилье к концу расчетного срока определена емкостью предлагаемых к застройке территорий и размещенных проектом. Средняя обеспеченность жилым фондом таким образом определена в количестве 28,7 кв. м/чел.</w:t>
      </w:r>
    </w:p>
    <w:p>
      <w:pPr>
        <w:pStyle w:val="Normal"/>
        <w:rPr>
          <w:rFonts w:cs="Arial"/>
          <w:szCs w:val="26"/>
          <w:lang w:val="ru-RU"/>
        </w:rPr>
      </w:pPr>
      <w:r>
        <w:rPr>
          <w:rFonts w:cs="Arial"/>
          <w:szCs w:val="26"/>
          <w:lang w:val="ru-RU"/>
        </w:rPr>
        <w:t>Нормативная плотность населения на 1 га селитебной территории индивидуальной застройки, при средней площади участка 0,12 - 0,15 га, в проекте принята - 19 чел./га; коэффициент семейности - 3,2; средняя площадь индивидуального дома - 120 кв. м общей площади; обеспеченность в 2 - 3-этажном жилом фонде - 24,7 кв. м/чел.</w:t>
      </w:r>
    </w:p>
    <w:p>
      <w:pPr>
        <w:pStyle w:val="Normal"/>
        <w:rPr>
          <w:rFonts w:cs="Arial"/>
          <w:szCs w:val="26"/>
          <w:lang w:val="ru-RU"/>
        </w:rPr>
      </w:pPr>
      <w:r>
        <w:rPr>
          <w:rFonts w:cs="Arial"/>
          <w:szCs w:val="26"/>
          <w:lang w:val="ru-RU"/>
        </w:rPr>
        <w:t>В новом жилом фонде разместится около 2,8 тыс. человек, в том числе в индивидуальном жилом фонде - 1,8 тыс. человек.</w:t>
      </w:r>
    </w:p>
    <w:p>
      <w:pPr>
        <w:pStyle w:val="Normal"/>
        <w:rPr>
          <w:rFonts w:cs="Arial"/>
          <w:szCs w:val="26"/>
          <w:lang w:val="ru-RU"/>
        </w:rPr>
      </w:pPr>
      <w:r>
        <w:rPr>
          <w:rFonts w:cs="Arial"/>
          <w:szCs w:val="26"/>
          <w:lang w:val="ru-RU"/>
        </w:rPr>
      </w:r>
    </w:p>
    <w:p>
      <w:pPr>
        <w:pStyle w:val="Normal"/>
        <w:numPr>
          <w:ilvl w:val="0"/>
          <w:numId w:val="0"/>
        </w:numPr>
        <w:spacing w:before="0" w:after="0"/>
        <w:ind w:hanging="0"/>
        <w:contextualSpacing/>
        <w:jc w:val="center"/>
        <w:outlineLvl w:val="2"/>
        <w:rPr>
          <w:rFonts w:cs="Arial"/>
          <w:b/>
          <w:b/>
          <w:szCs w:val="26"/>
          <w:lang w:val="ru-RU" w:eastAsia="ru-RU" w:bidi="ar-SA"/>
        </w:rPr>
      </w:pPr>
      <w:bookmarkStart w:id="10" w:name="_Toc397335561"/>
      <w:bookmarkStart w:id="11" w:name="_Toc398022651"/>
      <w:bookmarkEnd w:id="10"/>
      <w:bookmarkEnd w:id="11"/>
      <w:r>
        <w:rPr>
          <w:rFonts w:cs="Arial"/>
          <w:b/>
          <w:szCs w:val="26"/>
          <w:lang w:val="ru-RU" w:eastAsia="ru-RU" w:bidi="ar-SA"/>
        </w:rPr>
        <w:t>Культурно-бытовое обслуживание</w:t>
      </w:r>
    </w:p>
    <w:p>
      <w:pPr>
        <w:pStyle w:val="Normal"/>
        <w:rPr>
          <w:rFonts w:cs="Arial"/>
          <w:szCs w:val="26"/>
          <w:lang w:val="ru-RU"/>
        </w:rPr>
      </w:pPr>
      <w:r>
        <w:rPr>
          <w:rFonts w:cs="Arial"/>
          <w:szCs w:val="26"/>
          <w:lang w:val="ru-RU"/>
        </w:rPr>
        <w:t>На первую очередь строительства размещение объектов соцкультбыта предусмотрено по социально-гарантированному минимуму, с учетом имеющихся возможностей строительной базы, финансирования.</w:t>
      </w:r>
    </w:p>
    <w:p>
      <w:pPr>
        <w:pStyle w:val="Normal"/>
        <w:rPr>
          <w:rFonts w:cs="Arial"/>
          <w:szCs w:val="26"/>
          <w:lang w:val="ru-RU"/>
        </w:rPr>
      </w:pPr>
      <w:r>
        <w:rPr>
          <w:rFonts w:cs="Arial"/>
          <w:szCs w:val="26"/>
          <w:lang w:val="ru-RU"/>
        </w:rPr>
        <w:t>В связи с учетом норм проектирования, исходя из радиуса обслуживания, проектом предлагается размещение детского дошкольного учреждения в пристроенном помещении на 30 мест, возможно, оздоровительного профиля, или детский сад кратковременного пребывания детей, в зависимости от потребности. Также планируется к строительству молочная кухня на 300 порций в сутки с раздаточным пунктом.</w:t>
      </w:r>
    </w:p>
    <w:p>
      <w:pPr>
        <w:pStyle w:val="Normal"/>
        <w:rPr>
          <w:rFonts w:cs="Arial"/>
          <w:szCs w:val="26"/>
          <w:lang w:val="ru-RU"/>
        </w:rPr>
      </w:pPr>
      <w:r>
        <w:rPr>
          <w:rFonts w:cs="Arial"/>
          <w:szCs w:val="26"/>
          <w:lang w:val="ru-RU"/>
        </w:rPr>
        <w:t>Из учреждений здравоохранения предлагается разместить медпункт или амбулаторию на ст. Юность Комсомольская на 15 посещений в смену.</w:t>
      </w:r>
    </w:p>
    <w:p>
      <w:pPr>
        <w:pStyle w:val="Normal"/>
        <w:rPr>
          <w:rFonts w:cs="Arial"/>
          <w:szCs w:val="26"/>
          <w:lang w:val="ru-RU"/>
        </w:rPr>
      </w:pPr>
      <w:r>
        <w:rPr>
          <w:rFonts w:cs="Arial"/>
          <w:szCs w:val="26"/>
          <w:lang w:val="ru-RU"/>
        </w:rPr>
        <w:t>Проектом предлагается к размещению предприятия бытового обслуживания микрорайонного значения (парикмахерская, ремонт обуви и т.п.) общей вместимостью 20 рабочих мест, которые могут быть расположены во встроенно-пристроенных помещениях или на первом этаже в двухэтажных домах.</w:t>
      </w:r>
    </w:p>
    <w:p>
      <w:pPr>
        <w:sectPr>
          <w:footerReference w:type="default" r:id="rId3"/>
          <w:type w:val="nextPage"/>
          <w:pgSz w:w="11906" w:h="16838"/>
          <w:pgMar w:left="1701" w:right="851" w:header="0" w:top="567" w:footer="709" w:bottom="766" w:gutter="0"/>
          <w:pgNumType w:fmt="decimal"/>
          <w:formProt w:val="false"/>
          <w:titlePg/>
          <w:textDirection w:val="lrTb"/>
          <w:docGrid w:type="default" w:linePitch="360" w:charSpace="4294957055"/>
        </w:sectPr>
        <w:pStyle w:val="Normal"/>
        <w:rPr>
          <w:rFonts w:cs="Arial"/>
          <w:szCs w:val="26"/>
          <w:lang w:val="ru-RU"/>
        </w:rPr>
      </w:pPr>
      <w:r>
        <w:rPr>
          <w:rFonts w:cs="Arial"/>
          <w:szCs w:val="26"/>
          <w:lang w:val="ru-RU"/>
        </w:rPr>
        <w:t>Потребность населения в учреждениях культуры, торговли будет обеспечиваться в имеющихся объектах соцкультбыта.</w:t>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3</w:t>
      </w:r>
      <w:r>
        <w:fldChar w:fldCharType="end"/>
      </w:r>
      <w:r>
        <w:rPr>
          <w:rFonts w:cs="Arial"/>
          <w:iCs/>
          <w:szCs w:val="26"/>
          <w:lang w:val="ru-RU" w:eastAsia="zh-CN"/>
        </w:rPr>
        <w:t xml:space="preserve"> – Культурно-бытовое обслуживание </w:t>
      </w:r>
      <w:r>
        <w:rPr>
          <w:rFonts w:cs="Arial"/>
          <w:b/>
          <w:iCs/>
          <w:szCs w:val="26"/>
          <w:lang w:val="ru-RU" w:eastAsia="zh-CN"/>
        </w:rPr>
        <w:t>(первая очередь 2015-2020 гг.)</w:t>
      </w:r>
    </w:p>
    <w:tbl>
      <w:tblPr>
        <w:tblW w:w="5000" w:type="pct"/>
        <w:jc w:val="left"/>
        <w:tblInd w:w="-9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20" w:type="dxa"/>
          <w:left w:w="220" w:type="dxa"/>
          <w:bottom w:w="120" w:type="dxa"/>
          <w:right w:w="240" w:type="dxa"/>
        </w:tblCellMar>
        <w:tblLook w:val="04a0"/>
      </w:tblPr>
      <w:tblGrid>
        <w:gridCol w:w="3817"/>
        <w:gridCol w:w="1680"/>
        <w:gridCol w:w="1550"/>
        <w:gridCol w:w="1060"/>
        <w:gridCol w:w="2073"/>
        <w:gridCol w:w="2044"/>
        <w:gridCol w:w="1"/>
        <w:gridCol w:w="2060"/>
      </w:tblGrid>
      <w:tr>
        <w:trPr>
          <w:tblHeader w:val="true"/>
          <w:trHeight w:val="57" w:hRule="atLeast"/>
        </w:trPr>
        <w:tc>
          <w:tcPr>
            <w:tcW w:w="38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Наименование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объекта</w:t>
            </w:r>
          </w:p>
        </w:tc>
        <w:tc>
          <w:tcPr>
            <w:tcW w:w="168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Норма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r>
          </w:p>
        </w:tc>
        <w:tc>
          <w:tcPr>
            <w:tcW w:w="155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Требуется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r>
          </w:p>
        </w:tc>
        <w:tc>
          <w:tcPr>
            <w:tcW w:w="517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Размещено в проекте</w:t>
            </w:r>
          </w:p>
        </w:tc>
        <w:tc>
          <w:tcPr>
            <w:tcW w:w="20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Площадь</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r>
          </w:p>
        </w:tc>
      </w:tr>
      <w:tr>
        <w:trPr>
          <w:tblHeader w:val="true"/>
          <w:trHeight w:val="57" w:hRule="atLeast"/>
        </w:trPr>
        <w:tc>
          <w:tcPr>
            <w:tcW w:w="3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1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15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10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Всего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r>
          </w:p>
        </w:tc>
        <w:tc>
          <w:tcPr>
            <w:tcW w:w="411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в том числе</w:t>
            </w:r>
          </w:p>
        </w:tc>
        <w:tc>
          <w:tcPr>
            <w:tcW w:w="20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r>
      <w:tr>
        <w:trPr>
          <w:tblHeader w:val="true"/>
          <w:trHeight w:val="57" w:hRule="atLeast"/>
        </w:trPr>
        <w:tc>
          <w:tcPr>
            <w:tcW w:w="3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168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155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10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существующая застройка</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новое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строительство</w:t>
            </w:r>
          </w:p>
        </w:tc>
        <w:tc>
          <w:tcPr>
            <w:tcW w:w="206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r>
      <w:tr>
        <w:trPr>
          <w:trHeight w:val="57" w:hRule="atLeast"/>
        </w:trPr>
        <w:tc>
          <w:tcPr>
            <w:tcW w:w="14285"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Учреждения народного образования</w:t>
            </w:r>
          </w:p>
        </w:tc>
      </w:tr>
      <w:tr>
        <w:trPr>
          <w:trHeight w:val="252"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1. Детские дошкольные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учреждения, место</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50</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295</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225</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195</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0,1 встроен.</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помещ.</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2. общеобразовательные школы, учащиеся</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145</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855</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1116</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1116</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ind w:hanging="0"/>
              <w:jc w:val="center"/>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ind w:hanging="0"/>
              <w:jc w:val="center"/>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lang w:val="ru-RU"/>
              </w:rPr>
            </w:pPr>
            <w:r>
              <w:rPr>
                <w:rFonts w:cs="Arial"/>
                <w:sz w:val="20"/>
                <w:szCs w:val="20"/>
                <w:lang w:val="ru-RU"/>
              </w:rPr>
              <w:t>3. Межшкольный учебно-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lang w:val="ru-RU"/>
              </w:rPr>
            </w:pPr>
            <w:r>
              <w:rPr>
                <w:rFonts w:cs="Arial"/>
                <w:sz w:val="20"/>
                <w:szCs w:val="20"/>
                <w:lang w:val="ru-RU"/>
              </w:rPr>
              <w:t>производственный комбинат,</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lang w:val="ru-RU"/>
              </w:rPr>
            </w:pPr>
            <w:r>
              <w:rPr>
                <w:rFonts w:cs="Arial"/>
                <w:sz w:val="20"/>
                <w:szCs w:val="20"/>
                <w:lang w:val="ru-RU"/>
              </w:rPr>
              <w:t>учащиеся</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8% от</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общего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числа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школьников</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70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70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При существ.</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школе</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 Внешкольные учреждения, место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 общего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числа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школьников</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85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Дом детск.</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творчества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дом детского творчества</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3,3%</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детско-юношеская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спортивная школа</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2,3%</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 музыкальная,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художественная школа, школа искусств</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2,7%</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при клубе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в Доме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Творчества</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станция юных натуралистов, техников</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1,7%</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17</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14285"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Учреждения здравоохранения</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5. Стационары всех типов для взрослых и детей с вспомогательными зданиями и</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сооружениями</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14</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80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6. Поликлиники, амбулатории, диспансеры без стационара,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посещение в смену</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206</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15</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206</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15</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126</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80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15</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Амбулатория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встроен.</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lang w:val="ru-RU"/>
              </w:rPr>
            </w:pPr>
            <w:r>
              <w:rPr>
                <w:rFonts w:cs="Arial"/>
                <w:sz w:val="20"/>
                <w:szCs w:val="20"/>
                <w:lang w:val="ru-RU"/>
              </w:rPr>
              <w:t>7. Станции (подстанции) скорой медицинской помощи,</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автомобиль</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lang w:val="ru-RU"/>
              </w:rPr>
            </w:pPr>
            <w:r>
              <w:rPr>
                <w:rFonts w:cs="Arial"/>
                <w:sz w:val="20"/>
                <w:szCs w:val="20"/>
                <w:lang w:val="ru-RU"/>
              </w:rPr>
              <w:t>1 на 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lang w:val="ru-RU"/>
              </w:rPr>
            </w:pPr>
            <w:r>
              <w:rPr>
                <w:rFonts w:cs="Arial"/>
                <w:sz w:val="20"/>
                <w:szCs w:val="20"/>
                <w:lang w:val="ru-RU"/>
              </w:rPr>
              <w:t>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lang w:val="ru-RU"/>
              </w:rPr>
            </w:pPr>
            <w:r>
              <w:rPr>
                <w:rFonts w:cs="Arial"/>
                <w:sz w:val="20"/>
                <w:szCs w:val="20"/>
                <w:lang w:val="ru-RU"/>
              </w:rPr>
              <w:t>человек в</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lang w:val="ru-RU"/>
              </w:rPr>
            </w:pPr>
            <w:r>
              <w:rPr>
                <w:rFonts w:cs="Arial"/>
                <w:sz w:val="20"/>
                <w:szCs w:val="20"/>
                <w:lang w:val="ru-RU"/>
              </w:rPr>
              <w:t>пределах</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lang w:val="ru-RU"/>
              </w:rPr>
            </w:pPr>
            <w:r>
              <w:rPr>
                <w:rFonts w:cs="Arial"/>
                <w:sz w:val="20"/>
                <w:szCs w:val="20"/>
                <w:lang w:val="ru-RU"/>
              </w:rPr>
              <w:t>доступности</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15 мин.</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1</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1</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3</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_</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ind w:hanging="0"/>
              <w:jc w:val="left"/>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8. Аптека, отдельно стоящая или встроенная, объект</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на 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человек</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L</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0,2 га или</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встроенные</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9. Молочная кухня, порция в сутки на одного ребенка (до 1 года)</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300</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0,15</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10. Раздаточный пункт</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молочной кухни (встроенный), кв. м общей площади на одного ребенка (до 1 года)</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0,3</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встроенные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11. Профилакторий, место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70 - 100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кв. м на 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место</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12. Детский лагерь отдыха, место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150 - 200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кв. м на 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место</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объект</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на 30 мест</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13. Кемпинги, место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135 - 150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кв. м на 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место</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14285"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Физкультурно-спортивные сооружения</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14. Территория физкультурно-спортивных сооружений, га, всего</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0,7 - 0,9</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на 1 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человек</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4,1</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Спорт, ядро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центр, р-н</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15. Помещения для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физкультурно-оздоровительных</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занятий в микрорайоне, кв. м. общей площади на 1 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человек</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70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7</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16. Спортивные залы</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общего пользования, кв. м. площади пола</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354</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244</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244</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При ДК</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При школе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17. Бассейны крытые и</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пользования, кв. м зеркала воды</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20 - 25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проектирование</w:t>
            </w:r>
          </w:p>
        </w:tc>
      </w:tr>
      <w:tr>
        <w:trPr>
          <w:trHeight w:val="57" w:hRule="atLeast"/>
        </w:trPr>
        <w:tc>
          <w:tcPr>
            <w:tcW w:w="14285"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Учреждения культуры и искусства</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18. Помещения для досуговой деятельности, кв. м площади</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пола</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295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проектирование</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19. Клубы, посетитель на место</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80</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470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550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550</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При сущ. Доме Культуры</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ind w:hanging="0"/>
              <w:jc w:val="left"/>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20. Танцевальные залы, место</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6</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35</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35</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35</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При ДК,</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клубе</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ind w:hanging="0"/>
              <w:jc w:val="left"/>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21. Кинотеатры, место</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25</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147,0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При ДК</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проектирование</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22. Городские массовые библиотеки, тыс. ед. хранения /читательское место</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23/11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15/15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Дополнительно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при школах</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при ДК</w:t>
            </w:r>
          </w:p>
        </w:tc>
      </w:tr>
      <w:tr>
        <w:trPr>
          <w:trHeight w:val="57" w:hRule="atLeast"/>
        </w:trPr>
        <w:tc>
          <w:tcPr>
            <w:tcW w:w="14285"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Предприятия торговли, общественного питания и бытового обслуживания</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23. Магазины, кв. м. торговой площади</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300</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1950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2120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2120</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Торговый центр</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продовольственных</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товаров</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100</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590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900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900</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непродовольственных товаров</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200</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1180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1220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1220</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24. Рыночный комплекс, кв. м торговой площади</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24</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140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25. Предприятия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общественного питания, место</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236</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26. Магазины кулинарии, кв. м. торговой площади</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35</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27. Предприятия бытового обслуживания, раб. место</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9</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53</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непосредственного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обслуживания</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встроен.-</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пристр.</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 производственные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Предприятия централизованного выполнения заказов, объект</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23</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14285"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Предприятия коммунального обслуживания</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28. Прачечные, кг белья в смену</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120</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700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прачечные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самообслуживания, объект</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60</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в коммун.</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фабрики-прачечные, объект</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650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650</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650</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29. Химчистки, кг вещей в смену</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11,4</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67</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химчистки</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самообслуживания</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24</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24</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24</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фабрики-химчистки, объект</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7,4</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44</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в коммун. зоне</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30. Баня, место</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7</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40</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25</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25</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ind w:hanging="0"/>
              <w:jc w:val="left"/>
              <w:rPr>
                <w:rFonts w:cs="Arial"/>
                <w:sz w:val="20"/>
                <w:szCs w:val="20"/>
              </w:rPr>
            </w:pPr>
            <w:r>
              <w:rPr>
                <w:rFonts w:cs="Arial"/>
                <w:sz w:val="20"/>
                <w:szCs w:val="20"/>
              </w:rPr>
              <w:t> </w:t>
            </w:r>
          </w:p>
        </w:tc>
      </w:tr>
      <w:tr>
        <w:trPr>
          <w:trHeight w:val="57" w:hRule="atLeast"/>
        </w:trPr>
        <w:tc>
          <w:tcPr>
            <w:tcW w:w="14285"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Организации и учреждения управления, кредитно-финансовые учреждения и предприятия связи</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31. Отделения связи, объект</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1 район до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6 - 6,5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человек</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ind w:hanging="0"/>
              <w:jc w:val="left"/>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lang w:val="ru-RU"/>
              </w:rPr>
            </w:pPr>
            <w:r>
              <w:rPr>
                <w:rFonts w:cs="Arial"/>
                <w:sz w:val="20"/>
                <w:szCs w:val="20"/>
                <w:lang w:val="ru-RU"/>
              </w:rPr>
              <w:t>32. Отделения и филиалы</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lang w:val="ru-RU"/>
              </w:rPr>
            </w:pPr>
            <w:r>
              <w:rPr>
                <w:rFonts w:cs="Arial"/>
                <w:sz w:val="20"/>
                <w:szCs w:val="20"/>
                <w:lang w:val="ru-RU"/>
              </w:rPr>
              <w:t>Сбербанка РФ, операц. касса</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1 окно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2 - 3 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человек</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tcPr>
          <w:p>
            <w:pPr>
              <w:pStyle w:val="Normal"/>
              <w:ind w:hanging="0"/>
              <w:jc w:val="left"/>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33. Организации и учреждения управления</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проектирование</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34. Отделения банков,</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операц. касса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на 10 -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 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человек</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проектирование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35. Милиция</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36. Юридическая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консультация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на 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человек</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57" w:hRule="atLeast"/>
        </w:trPr>
        <w:tc>
          <w:tcPr>
            <w:tcW w:w="14285"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Учреждения жилищно-коммунального хозяйства</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37. Жилищно-эксплуатационные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организации, объект</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микрорайона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микрорайон</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до 20 тыс.</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0,3</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жилого района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 на район</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до 60 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человек</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rPr>
              <w:t> </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rPr>
              <w:t> </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rPr>
              <w:t> </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rPr>
              <w:t> </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38. Пункт приема вторсырья,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объект</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микрорайон</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до 20 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человек</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0,01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39. Гостиницы, место</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35</w:t>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 Пожарное депо,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автомобиль</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на 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человек</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57" w:hRule="atLeast"/>
        </w:trPr>
        <w:tc>
          <w:tcPr>
            <w:tcW w:w="3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41. Общественные уборные,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прибор</w:t>
            </w:r>
          </w:p>
        </w:tc>
        <w:tc>
          <w:tcPr>
            <w:tcW w:w="16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0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206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bl>
    <w:p>
      <w:pPr>
        <w:sectPr>
          <w:footerReference w:type="default" r:id="rId4"/>
          <w:type w:val="nextPage"/>
          <w:pgSz w:orient="landscape" w:w="16838" w:h="11906"/>
          <w:pgMar w:left="1701" w:right="851" w:header="0" w:top="567" w:footer="709" w:bottom="766" w:gutter="0"/>
          <w:pgNumType w:fmt="decimal"/>
          <w:formProt w:val="false"/>
          <w:textDirection w:val="lrTb"/>
          <w:docGrid w:type="default" w:linePitch="360" w:charSpace="4294957055"/>
        </w:sectPr>
      </w:pPr>
    </w:p>
    <w:p>
      <w:pPr>
        <w:pStyle w:val="Normal"/>
        <w:rPr>
          <w:rFonts w:cs="Arial"/>
          <w:szCs w:val="26"/>
          <w:lang w:val="ru-RU"/>
        </w:rPr>
      </w:pPr>
      <w:r>
        <w:rPr>
          <w:rFonts w:cs="Arial"/>
          <w:szCs w:val="26"/>
          <w:lang w:val="ru-RU"/>
        </w:rPr>
        <w:t>Расчет потребности в учреждениях обслуживания выполнен с учетом СНиП 2.07.01-89*, а также с учетом социально-экономических условий. Для определения потребности обслуживания населения приняты дифференцированные расчетные нормы. Потребность в детских дошкольных учреждениях и школах определена на основе демографической структуры населения на расчетный срок, с учетом анализа существующей возрастной структуры п. Туртас. Охват детскими дошкольными учреждениями детей в возрасте 1 - 5 лет принят 85%, в том числе общего типа - 70%, специализированного - 3%, оздоровительного - 12%. В проекте детские сады размещаются с учетом радиуса обслуживания - 500 м.</w:t>
      </w:r>
    </w:p>
    <w:p>
      <w:pPr>
        <w:pStyle w:val="Normal"/>
        <w:rPr>
          <w:rFonts w:cs="Arial"/>
          <w:szCs w:val="26"/>
          <w:lang w:val="ru-RU"/>
        </w:rPr>
      </w:pPr>
      <w:r>
        <w:rPr>
          <w:rFonts w:cs="Arial"/>
          <w:szCs w:val="26"/>
          <w:lang w:val="ru-RU"/>
        </w:rPr>
        <w:t>На расчетный срок проектом предлагаются к строительству детские учреждения в западной части поселка, в новом микрорайоне одноэтажной застройки.</w:t>
      </w:r>
    </w:p>
    <w:p>
      <w:pPr>
        <w:pStyle w:val="Normal"/>
        <w:rPr>
          <w:rFonts w:cs="Arial"/>
          <w:szCs w:val="26"/>
          <w:lang w:val="ru-RU"/>
        </w:rPr>
      </w:pPr>
      <w:r>
        <w:rPr>
          <w:rFonts w:cs="Arial"/>
          <w:szCs w:val="26"/>
          <w:lang w:val="ru-RU"/>
        </w:rPr>
        <w:t>На ст. Юность Комсомольская предлагается разместить детское дошкольное учреждение во встроенно-пристроенном помещении емкостью до 30 мест. Дополнительно в поселке возможно развитие новых форм дошкольного образования: частный сад воскресный, детские сады кратковременного пребывания детей и т.п., если будет в этом потребность.</w:t>
      </w:r>
    </w:p>
    <w:p>
      <w:pPr>
        <w:pStyle w:val="Normal"/>
        <w:rPr>
          <w:rFonts w:cs="Arial"/>
          <w:szCs w:val="26"/>
          <w:lang w:val="ru-RU"/>
        </w:rPr>
      </w:pPr>
      <w:r>
        <w:rPr>
          <w:rFonts w:cs="Arial"/>
          <w:szCs w:val="26"/>
          <w:lang w:val="ru-RU"/>
        </w:rPr>
        <w:t>Норматив по школам рассчитан с учетом 100% охвата детей (6 - 15 лет) с неполным средним образованием и до 75% детей (16 - 17 лет) со средним образованием. Потребность в школах удовлетворяется вместимостью имеющихся в поселке школ. При необходимости также возможна организация воскресной школы, например, при культовом учреждении.</w:t>
      </w:r>
    </w:p>
    <w:p>
      <w:pPr>
        <w:pStyle w:val="Normal"/>
        <w:rPr>
          <w:rFonts w:cs="Arial"/>
          <w:szCs w:val="26"/>
          <w:lang w:val="ru-RU"/>
        </w:rPr>
      </w:pPr>
      <w:r>
        <w:rPr>
          <w:rFonts w:cs="Arial"/>
          <w:szCs w:val="26"/>
          <w:lang w:val="ru-RU"/>
        </w:rPr>
        <w:t>При существующем здании школы имеется возможность использовать свободные площади для межшкольного учебно-производственного комбината.</w:t>
      </w:r>
    </w:p>
    <w:p>
      <w:pPr>
        <w:pStyle w:val="Normal"/>
        <w:rPr>
          <w:rFonts w:cs="Arial"/>
          <w:szCs w:val="26"/>
          <w:lang w:val="ru-RU"/>
        </w:rPr>
      </w:pPr>
      <w:r>
        <w:rPr>
          <w:rFonts w:cs="Arial"/>
          <w:szCs w:val="26"/>
          <w:lang w:val="ru-RU"/>
        </w:rPr>
        <w:t>Потребность во внешкольных учреждениях будет удовлетворена при имеющемся здании дома детского творчества, где есть возможность для занятий в музыкальной школе, художественном и других различных кружках.</w:t>
      </w:r>
    </w:p>
    <w:p>
      <w:pPr>
        <w:pStyle w:val="Normal"/>
        <w:rPr>
          <w:rFonts w:cs="Arial"/>
          <w:szCs w:val="26"/>
          <w:lang w:val="ru-RU"/>
        </w:rPr>
      </w:pPr>
      <w:r>
        <w:rPr>
          <w:rFonts w:cs="Arial"/>
          <w:szCs w:val="26"/>
          <w:lang w:val="ru-RU"/>
        </w:rPr>
        <w:t>Для расчета потребности в учреждениях здравоохранения принята норма в больницах - 15,5 коек на 1000 жителей и 35 посещений в смену на 1000 жителей для поликлиник всех типов. Проектом предусмотрено расширение территории больницы и поликлиники (1 га дополнительно) еще на 50 коек и 104 посещений в смену, которые будут обеспечивать потребность населения не только поселка, но и близлежащих сельских поселений. На ст. Юность Комсомольская предлагается разместить медпункт или амбулаторию во встроенно-пристроенном помещении.</w:t>
      </w:r>
    </w:p>
    <w:p>
      <w:pPr>
        <w:pStyle w:val="Normal"/>
        <w:rPr>
          <w:rFonts w:cs="Arial"/>
          <w:szCs w:val="26"/>
          <w:lang w:val="ru-RU"/>
        </w:rPr>
      </w:pPr>
      <w:r>
        <w:rPr>
          <w:rFonts w:cs="Arial"/>
          <w:szCs w:val="26"/>
          <w:lang w:val="ru-RU"/>
        </w:rPr>
        <w:t>В проекте предусмотрена молочная кухня на 360 порций в сутки на 1 ребенка (до 1 года) и два раздаточных пункта молочной кухни, один из которых планируется на ст. Юность Комсомольская.</w:t>
      </w:r>
    </w:p>
    <w:p>
      <w:pPr>
        <w:pStyle w:val="Normal"/>
        <w:rPr>
          <w:rFonts w:cs="Arial"/>
          <w:szCs w:val="26"/>
          <w:lang w:val="ru-RU"/>
        </w:rPr>
      </w:pPr>
      <w:r>
        <w:rPr>
          <w:rFonts w:cs="Arial"/>
          <w:szCs w:val="26"/>
          <w:lang w:val="ru-RU"/>
        </w:rPr>
        <w:t>Проектом предусмотрены помещения для физкультурно-оздоровительных занятий общей площадью 500 кв. м, спортивные площадки, залы. Рядом с культурно-общественным центром будет расположено спортивное ядро (на ранее запроектированной территории), со стадионом, площадью около 3 га.</w:t>
      </w:r>
    </w:p>
    <w:p>
      <w:pPr>
        <w:pStyle w:val="Normal"/>
        <w:rPr>
          <w:rFonts w:cs="Arial"/>
          <w:szCs w:val="26"/>
          <w:lang w:val="ru-RU"/>
        </w:rPr>
      </w:pPr>
      <w:r>
        <w:rPr>
          <w:rFonts w:cs="Arial"/>
          <w:szCs w:val="26"/>
          <w:lang w:val="ru-RU"/>
        </w:rPr>
        <w:t>В южной части поселка, в районе улицы Газовиков будут размещены здание автовокзала, милиция, гостиница на 40 мест, торговый центр торговой площадью 500 кв. м, в соответствии с заданием на проектирование. На расчетный срок предполагается сокращение торговых площадей имеющихся магазинов, например, расположенных в приспособленных помещениях.</w:t>
      </w:r>
    </w:p>
    <w:p>
      <w:pPr>
        <w:pStyle w:val="Normal"/>
        <w:rPr>
          <w:rFonts w:cs="Arial"/>
          <w:szCs w:val="26"/>
          <w:lang w:val="ru-RU"/>
        </w:rPr>
      </w:pPr>
      <w:r>
        <w:rPr>
          <w:rFonts w:cs="Arial"/>
          <w:szCs w:val="26"/>
          <w:lang w:val="ru-RU"/>
        </w:rPr>
        <w:t>Потребность в учреждениях бытового обслуживания будет обеспечена в новом здании дома быта, который предусмотрен в культурно-общественном центре, там же будут размещены новое здание администрации, другие офисные учреждения.</w:t>
      </w:r>
    </w:p>
    <w:p>
      <w:pPr>
        <w:pStyle w:val="Normal"/>
        <w:rPr>
          <w:rFonts w:cs="Arial"/>
          <w:szCs w:val="26"/>
          <w:lang w:val="ru-RU"/>
        </w:rPr>
      </w:pPr>
      <w:r>
        <w:rPr>
          <w:rFonts w:cs="Arial"/>
          <w:szCs w:val="26"/>
          <w:lang w:val="ru-RU"/>
        </w:rPr>
        <w:t>Предприятия коммунального обслуживания и жилищно-коммунального хозяйства предусмотрены в коммунальной зоне, примыкающей к территории новой одноэтажной застройки (ул. Солнечная, Ленина). Там же запланирован новый рынок, на 260 кв. м торг. площади.</w:t>
      </w:r>
    </w:p>
    <w:p>
      <w:pPr>
        <w:pStyle w:val="Normal"/>
        <w:ind w:hanging="0"/>
        <w:jc w:val="left"/>
        <w:rPr>
          <w:rFonts w:cs="Arial"/>
          <w:szCs w:val="26"/>
          <w:lang w:val="ru-RU"/>
        </w:rPr>
      </w:pPr>
      <w:r>
        <w:rPr>
          <w:rFonts w:cs="Arial"/>
          <w:szCs w:val="26"/>
          <w:lang w:val="ru-RU"/>
        </w:rPr>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4</w:t>
      </w:r>
      <w:r>
        <w:fldChar w:fldCharType="end"/>
      </w:r>
      <w:r>
        <w:rPr>
          <w:rFonts w:cs="Arial"/>
          <w:iCs/>
          <w:szCs w:val="26"/>
          <w:lang w:val="ru-RU" w:eastAsia="zh-CN"/>
        </w:rPr>
        <w:t xml:space="preserve"> – Культурно-бытовое обслуживание (расчетный срок)</w:t>
      </w:r>
    </w:p>
    <w:tbl>
      <w:tblPr>
        <w:tblW w:w="5000" w:type="pct"/>
        <w:jc w:val="left"/>
        <w:tblInd w:w="-9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20" w:type="dxa"/>
          <w:left w:w="220" w:type="dxa"/>
          <w:bottom w:w="120" w:type="dxa"/>
          <w:right w:w="240" w:type="dxa"/>
        </w:tblCellMar>
        <w:tblLook w:val="04a0"/>
      </w:tblPr>
      <w:tblGrid>
        <w:gridCol w:w="2190"/>
        <w:gridCol w:w="1340"/>
        <w:gridCol w:w="31"/>
        <w:gridCol w:w="1108"/>
        <w:gridCol w:w="1"/>
        <w:gridCol w:w="869"/>
        <w:gridCol w:w="1"/>
        <w:gridCol w:w="1296"/>
        <w:gridCol w:w="1"/>
        <w:gridCol w:w="891"/>
        <w:gridCol w:w="1"/>
        <w:gridCol w:w="1624"/>
      </w:tblGrid>
      <w:tr>
        <w:trPr>
          <w:tblHeader w:val="true"/>
          <w:trHeight w:val="170" w:hRule="atLeast"/>
        </w:trPr>
        <w:tc>
          <w:tcPr>
            <w:tcW w:w="219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Наименование учреждения,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ед. измерения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r>
          </w:p>
        </w:tc>
        <w:tc>
          <w:tcPr>
            <w:tcW w:w="137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lang w:val="ru-RU"/>
              </w:rPr>
            </w:pPr>
            <w:r>
              <w:rPr>
                <w:rFonts w:cs="Arial"/>
                <w:b/>
                <w:sz w:val="20"/>
                <w:szCs w:val="20"/>
                <w:lang w:val="ru-RU"/>
              </w:rPr>
              <w:t>Норма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lang w:val="ru-RU"/>
              </w:rPr>
            </w:pPr>
            <w:r>
              <w:rPr>
                <w:rFonts w:cs="Arial"/>
                <w:b/>
                <w:sz w:val="20"/>
                <w:szCs w:val="20"/>
                <w:lang w:val="ru-RU"/>
              </w:rPr>
              <w:t>согласно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lang w:val="ru-RU"/>
              </w:rPr>
            </w:pPr>
            <w:r>
              <w:rPr>
                <w:rFonts w:cs="Arial"/>
                <w:b/>
                <w:sz w:val="20"/>
                <w:szCs w:val="20"/>
                <w:lang w:val="ru-RU"/>
              </w:rPr>
              <w:t>СНиП</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lang w:val="ru-RU"/>
              </w:rPr>
            </w:pPr>
            <w:r>
              <w:rPr>
                <w:rFonts w:cs="Arial"/>
                <w:b/>
                <w:sz w:val="20"/>
                <w:szCs w:val="20"/>
                <w:lang w:val="ru-RU"/>
              </w:rPr>
              <w:t>2.07.01-89*</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lang w:val="ru-RU"/>
              </w:rPr>
            </w:pPr>
            <w:r>
              <w:rPr>
                <w:rFonts w:cs="Arial"/>
                <w:b/>
                <w:sz w:val="20"/>
                <w:szCs w:val="20"/>
                <w:lang w:val="ru-RU"/>
              </w:rPr>
              <w:t>на 1000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lang w:val="ru-RU"/>
              </w:rPr>
            </w:pPr>
            <w:r>
              <w:rPr>
                <w:rFonts w:cs="Arial"/>
                <w:b/>
                <w:sz w:val="20"/>
                <w:szCs w:val="20"/>
                <w:lang w:val="ru-RU"/>
              </w:rPr>
              <w:t>человек</w:t>
            </w:r>
          </w:p>
        </w:tc>
        <w:tc>
          <w:tcPr>
            <w:tcW w:w="110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Требует-ся по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рас-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чету</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r>
          </w:p>
        </w:tc>
        <w:tc>
          <w:tcPr>
            <w:tcW w:w="3059"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Размещено в проекте</w:t>
            </w:r>
          </w:p>
        </w:tc>
        <w:tc>
          <w:tcPr>
            <w:tcW w:w="1625"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Площадь</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участка, га</w:t>
            </w:r>
          </w:p>
        </w:tc>
      </w:tr>
      <w:tr>
        <w:trPr>
          <w:tblHeader w:val="true"/>
          <w:trHeight w:val="170" w:hRule="atLeast"/>
        </w:trPr>
        <w:tc>
          <w:tcPr>
            <w:tcW w:w="219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137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110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870"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Всего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r>
          </w:p>
        </w:tc>
        <w:tc>
          <w:tcPr>
            <w:tcW w:w="2189"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в том числе</w:t>
            </w:r>
          </w:p>
        </w:tc>
        <w:tc>
          <w:tcPr>
            <w:tcW w:w="1625"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r>
      <w:tr>
        <w:trPr>
          <w:trHeight w:val="170" w:hRule="atLeast"/>
        </w:trPr>
        <w:tc>
          <w:tcPr>
            <w:tcW w:w="219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137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110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870"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114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существ.</w:t>
            </w:r>
          </w:p>
          <w:p>
            <w:pPr>
              <w:pStyle w:val="Normal"/>
              <w:tabs>
                <w:tab w:val="left" w:pos="1144"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сохран.</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новое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b/>
                <w:b/>
                <w:sz w:val="20"/>
                <w:szCs w:val="20"/>
              </w:rPr>
            </w:pPr>
            <w:r>
              <w:rPr>
                <w:rFonts w:cs="Arial"/>
                <w:b/>
                <w:sz w:val="20"/>
                <w:szCs w:val="20"/>
              </w:rPr>
              <w:t>стр-во</w:t>
            </w:r>
          </w:p>
        </w:tc>
        <w:tc>
          <w:tcPr>
            <w:tcW w:w="1625"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b/>
                <w:b/>
                <w:sz w:val="20"/>
                <w:szCs w:val="20"/>
              </w:rPr>
            </w:pPr>
            <w:r>
              <w:rPr>
                <w:rFonts w:cs="Arial"/>
                <w:b/>
                <w:sz w:val="20"/>
                <w:szCs w:val="20"/>
              </w:rPr>
            </w:r>
          </w:p>
        </w:tc>
      </w:tr>
      <w:tr>
        <w:trPr>
          <w:trHeight w:val="170" w:hRule="atLeast"/>
        </w:trPr>
        <w:tc>
          <w:tcPr>
            <w:tcW w:w="9353" w:type="dxa"/>
            <w:gridSpan w:val="1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Учреждения народного образования</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Детские дошкольные</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учреждения, место</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60</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390</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390</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195</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95</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0,1 или</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встроен.</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 Общеобразовательные</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школы, учащиеся</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145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943</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65</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1116</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1116</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3. Межшкольный учебно-</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производственный</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комбинат, учащиеся</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8% от</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общего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числа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школьников</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75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75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75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 Внешкольные учреждения, место</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общего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числа</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95</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Дом</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творчества,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при клубе</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дом детского</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творчества</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3,3%</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31</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детско-юношеская</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спортивная школа</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2,3%</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22</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музыкальная,</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художественная школа,</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школа</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2,7%</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станция юных</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натуралистов, техников</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1,7%</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17</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9353" w:type="dxa"/>
            <w:gridSpan w:val="1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Учреждения здравоохранения</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5. Стационары всех типов</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для взрослых и детей с</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вспомогательными</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зданиями и сооружениями</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15,5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6. Поликлиники,</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амбулатории, диспансеры</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без стационара, посещение в смену</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35</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230</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230</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126</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104</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0,3 га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или встроен.</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7. Станции (подстанции)</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скорой медицинской</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помощи, автомобиль</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1138"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lang w:val="ru-RU"/>
              </w:rPr>
            </w:pPr>
            <w:r>
              <w:rPr>
                <w:rFonts w:cs="Arial"/>
                <w:sz w:val="20"/>
                <w:szCs w:val="20"/>
                <w:lang w:val="ru-RU"/>
              </w:rPr>
              <w:t>1 на 10</w:t>
            </w:r>
          </w:p>
          <w:p>
            <w:pPr>
              <w:pStyle w:val="Normal"/>
              <w:tabs>
                <w:tab w:val="left" w:pos="1138"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lang w:val="ru-RU"/>
              </w:rPr>
            </w:pPr>
            <w:r>
              <w:rPr>
                <w:rFonts w:cs="Arial"/>
                <w:sz w:val="20"/>
                <w:szCs w:val="20"/>
                <w:lang w:val="ru-RU"/>
              </w:rPr>
              <w:t>тыс.</w:t>
            </w:r>
          </w:p>
          <w:p>
            <w:pPr>
              <w:pStyle w:val="Normal"/>
              <w:tabs>
                <w:tab w:val="left" w:pos="1138"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lang w:val="ru-RU"/>
              </w:rPr>
            </w:pPr>
            <w:r>
              <w:rPr>
                <w:rFonts w:cs="Arial"/>
                <w:sz w:val="20"/>
                <w:szCs w:val="20"/>
                <w:lang w:val="ru-RU"/>
              </w:rPr>
              <w:t>человек в</w:t>
            </w:r>
          </w:p>
          <w:p>
            <w:pPr>
              <w:pStyle w:val="Normal"/>
              <w:tabs>
                <w:tab w:val="left" w:pos="1138"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lang w:val="ru-RU"/>
              </w:rPr>
            </w:pPr>
            <w:r>
              <w:rPr>
                <w:rFonts w:cs="Arial"/>
                <w:sz w:val="20"/>
                <w:szCs w:val="20"/>
                <w:lang w:val="ru-RU"/>
              </w:rPr>
              <w:t>пределах</w:t>
            </w:r>
          </w:p>
          <w:p>
            <w:pPr>
              <w:pStyle w:val="Normal"/>
              <w:tabs>
                <w:tab w:val="left" w:pos="1138"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lang w:val="ru-RU"/>
              </w:rPr>
            </w:pPr>
            <w:r>
              <w:rPr>
                <w:rFonts w:cs="Arial"/>
                <w:sz w:val="20"/>
                <w:szCs w:val="20"/>
                <w:lang w:val="ru-RU"/>
              </w:rPr>
              <w:t>доступности 15 мин.</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8. Аптека, отдельно</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стоящая или встроенная,</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объект</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на 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человек</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0,2 га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или встроенные</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9. Молочная кухня, порция в сутки на одного ребенка (до 1 года)</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360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360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360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0,15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10. Раздаточный пункт</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молочной кухни (встроенный), кв. м. общей площади на одного ребенка (до 1 года)</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0,3</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встроенные</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11. Профилакторий, место</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1138"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70 – 100 кв. м на 1 место</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По заданию на проектирование</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12. Детский лагерь отдыха, место</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150 – 200 кв. м на 1 место</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объект</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на 30 мест</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По заданию на проектирование</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13. Кемпинги, место</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1138"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135 – 150 кв. м на 1 место</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50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По заданию на</w:t>
            </w:r>
          </w:p>
          <w:p>
            <w:pPr>
              <w:pStyle w:val="Normal"/>
              <w:tabs>
                <w:tab w:val="left" w:pos="916" w:leader="none"/>
                <w:tab w:val="left" w:pos="150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проектирование</w:t>
            </w:r>
          </w:p>
        </w:tc>
      </w:tr>
      <w:tr>
        <w:trPr>
          <w:trHeight w:val="170" w:hRule="atLeast"/>
        </w:trPr>
        <w:tc>
          <w:tcPr>
            <w:tcW w:w="9353" w:type="dxa"/>
            <w:gridSpan w:val="1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Физкультурно-спортивные сооружения</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14. Территория</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физкультурно-спортивных</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сооружений, га, всего</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1138"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0,7 - 0,9 на 1 тыс. человек</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4,5 -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5,9</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0,4</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15. Помещения для</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физкультурно-</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оздоровительных занятий в микрорайоне, кв. м.</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общей площади на 1 тыс. человек</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70 - 80</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455 -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520</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500</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500</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16. Спортивные залы</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общего пользования, кв.</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м площади пола</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60 - 80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390 -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520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27 -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36</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520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244</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276</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17. Бассейны крытые и</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открытые общего пользования, кв. м</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20 - 25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130 -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160</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 заданию</w:t>
            </w:r>
          </w:p>
        </w:tc>
      </w:tr>
      <w:tr>
        <w:trPr>
          <w:trHeight w:val="170" w:hRule="atLeast"/>
        </w:trPr>
        <w:tc>
          <w:tcPr>
            <w:tcW w:w="9353" w:type="dxa"/>
            <w:gridSpan w:val="1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Учреждения культуры и искусства</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18. Помещения для</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досуговой деятельности,</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кв. м площади пола</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50 - 60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325 -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390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При ДК</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проектирование</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19. Клубы,</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посетительское место</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80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520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550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550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ДК</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 Танцевальные залы, место</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При ДК</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21. Кинотеатры, место</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25 - 35</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160 -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230</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При ДК при клубе</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проектирование</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22. Городские массовые</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библиотеки, тыс. ед.</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хранения</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4/2</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26/15</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26/15</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11</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15/15</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9353" w:type="dxa"/>
            <w:gridSpan w:val="1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Предприятия торговли, общественного питания и бытового обслуживания</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23. Магазины, кв. м</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торговой площади</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300</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1950</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2300</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1700</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600</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Торговый центр</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продовольственных</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товаров</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100</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650</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900</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700</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200</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1843"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-непродовольст.</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200</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1300</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1400</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1000</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400</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Торг. центр</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объект</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1138"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6 - 6,5 тыс. человек</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24. Отделения и филиалы</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Сбербанка РФ, операц.</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касса</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окно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2 - 3  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человек</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25. Организации и</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учреждения управления</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проектирование</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26. Отделения банков,</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операц. касса</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на 10 -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 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человек</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По заданию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center"/>
              <w:textAlignment w:val="baseline"/>
              <w:rPr>
                <w:rFonts w:cs="Arial"/>
                <w:sz w:val="20"/>
                <w:szCs w:val="20"/>
              </w:rPr>
            </w:pPr>
            <w:r>
              <w:rPr>
                <w:rFonts w:cs="Arial"/>
                <w:sz w:val="20"/>
                <w:szCs w:val="20"/>
              </w:rPr>
              <w:t>проектирование</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27. Милиция, объект</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28. Юридическая</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консультация, юрист,</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адвокат</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на 10</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тыс.</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человек</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9353" w:type="dxa"/>
            <w:gridSpan w:val="1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Учреждения жилищно-коммунального хозяйства</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29. Жилищно-</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эксплуатационные</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организации, объект</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микрорайона</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128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 на</w:t>
            </w:r>
          </w:p>
          <w:p>
            <w:pPr>
              <w:pStyle w:val="Normal"/>
              <w:tabs>
                <w:tab w:val="left" w:pos="128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микрорайон</w:t>
            </w:r>
          </w:p>
          <w:p>
            <w:pPr>
              <w:pStyle w:val="Normal"/>
              <w:tabs>
                <w:tab w:val="left" w:pos="128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до 20 тыс.</w:t>
            </w:r>
          </w:p>
          <w:p>
            <w:pPr>
              <w:pStyle w:val="Normal"/>
              <w:tabs>
                <w:tab w:val="left" w:pos="128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человек</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0,3</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 жилого района</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128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 на район</w:t>
            </w:r>
          </w:p>
          <w:p>
            <w:pPr>
              <w:pStyle w:val="Normal"/>
              <w:tabs>
                <w:tab w:val="left" w:pos="128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до 60 тыс.</w:t>
            </w:r>
          </w:p>
          <w:p>
            <w:pPr>
              <w:pStyle w:val="Normal"/>
              <w:tabs>
                <w:tab w:val="left" w:pos="128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человек</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rPr>
              <w:t> </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rPr>
              <w:t> </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rPr>
              <w:t> </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rPr>
              <w:t> </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lang w:val="ru-RU"/>
              </w:rPr>
            </w:pPr>
            <w:r>
              <w:rPr>
                <w:rFonts w:cs="Arial"/>
                <w:sz w:val="20"/>
                <w:szCs w:val="20"/>
              </w:rPr>
              <w:t> </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30. Пункт приема</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вторсырья, объект</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128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1 на</w:t>
            </w:r>
          </w:p>
          <w:p>
            <w:pPr>
              <w:pStyle w:val="Normal"/>
              <w:tabs>
                <w:tab w:val="left" w:pos="128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микрорайон</w:t>
            </w:r>
          </w:p>
          <w:p>
            <w:pPr>
              <w:pStyle w:val="Normal"/>
              <w:tabs>
                <w:tab w:val="left" w:pos="128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до 20 тыс.</w:t>
            </w:r>
          </w:p>
          <w:p>
            <w:pPr>
              <w:pStyle w:val="Normal"/>
              <w:tabs>
                <w:tab w:val="left" w:pos="1280"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lang w:val="ru-RU"/>
              </w:rPr>
            </w:pPr>
            <w:r>
              <w:rPr>
                <w:rFonts w:cs="Arial"/>
                <w:sz w:val="20"/>
                <w:szCs w:val="20"/>
                <w:lang w:val="ru-RU"/>
              </w:rPr>
              <w:t>человек</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0,01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31. Гостиницы, место</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40</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0,2 га</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32. Пожарное депо,</w:t>
            </w:r>
          </w:p>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автомобиль</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 на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10 тыс.</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2</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r>
        <w:trPr>
          <w:trHeight w:val="170" w:hRule="atLeast"/>
        </w:trPr>
        <w:tc>
          <w:tcPr>
            <w:tcW w:w="2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985"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41. Общественные</w:t>
            </w:r>
          </w:p>
        </w:tc>
        <w:tc>
          <w:tcPr>
            <w:tcW w:w="13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1</w:t>
            </w:r>
          </w:p>
        </w:tc>
        <w:tc>
          <w:tcPr>
            <w:tcW w:w="114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w:t>
            </w:r>
          </w:p>
        </w:tc>
        <w:tc>
          <w:tcPr>
            <w:tcW w:w="87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w:t>
            </w:r>
          </w:p>
        </w:tc>
        <w:tc>
          <w:tcPr>
            <w:tcW w:w="12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w:t>
            </w:r>
          </w:p>
        </w:tc>
        <w:tc>
          <w:tcPr>
            <w:tcW w:w="8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textAlignment w:val="baseline"/>
              <w:rPr>
                <w:rFonts w:cs="Arial"/>
                <w:sz w:val="20"/>
                <w:szCs w:val="20"/>
              </w:rPr>
            </w:pPr>
            <w:r>
              <w:rPr>
                <w:rFonts w:cs="Arial"/>
                <w:sz w:val="20"/>
                <w:szCs w:val="20"/>
              </w:rPr>
              <w:t>6</w:t>
            </w:r>
          </w:p>
        </w:tc>
        <w:tc>
          <w:tcPr>
            <w:tcW w:w="16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bottom"/>
          </w:tcPr>
          <w:p>
            <w:pPr>
              <w:pStyle w:val="Normal"/>
              <w:ind w:hanging="0"/>
              <w:rPr>
                <w:rFonts w:cs="Arial"/>
                <w:sz w:val="20"/>
                <w:szCs w:val="20"/>
              </w:rPr>
            </w:pPr>
            <w:r>
              <w:rPr>
                <w:rFonts w:cs="Arial"/>
                <w:sz w:val="20"/>
                <w:szCs w:val="20"/>
              </w:rPr>
              <w:t> </w:t>
            </w:r>
          </w:p>
        </w:tc>
      </w:tr>
    </w:tbl>
    <w:p>
      <w:pPr>
        <w:pStyle w:val="Normal"/>
        <w:numPr>
          <w:ilvl w:val="0"/>
          <w:numId w:val="0"/>
        </w:numPr>
        <w:ind w:hanging="0"/>
        <w:outlineLvl w:val="1"/>
        <w:rPr>
          <w:rFonts w:cs="Arial"/>
          <w:b/>
          <w:b/>
          <w:szCs w:val="26"/>
          <w:lang w:val="ru-RU" w:eastAsia="ru-RU"/>
        </w:rPr>
      </w:pPr>
      <w:r>
        <w:rPr>
          <w:rFonts w:cs="Arial"/>
          <w:b/>
          <w:szCs w:val="26"/>
          <w:lang w:val="ru-RU" w:eastAsia="ru-RU"/>
        </w:rPr>
      </w:r>
    </w:p>
    <w:p>
      <w:pPr>
        <w:pStyle w:val="Normal"/>
        <w:numPr>
          <w:ilvl w:val="0"/>
          <w:numId w:val="0"/>
        </w:numPr>
        <w:ind w:hanging="0"/>
        <w:outlineLvl w:val="1"/>
        <w:rPr>
          <w:rFonts w:cs="Arial"/>
          <w:b/>
          <w:b/>
          <w:szCs w:val="26"/>
          <w:lang w:val="ru-RU" w:eastAsia="ru-RU"/>
        </w:rPr>
      </w:pPr>
      <w:r>
        <w:rPr>
          <w:rFonts w:cs="Arial"/>
          <w:b/>
          <w:szCs w:val="26"/>
          <w:lang w:val="ru-RU" w:eastAsia="ru-RU"/>
        </w:rPr>
      </w:r>
    </w:p>
    <w:p>
      <w:pPr>
        <w:pStyle w:val="Normal"/>
        <w:numPr>
          <w:ilvl w:val="1"/>
          <w:numId w:val="1"/>
        </w:numPr>
        <w:ind w:left="0" w:hanging="0"/>
        <w:jc w:val="center"/>
        <w:outlineLvl w:val="1"/>
        <w:rPr>
          <w:rFonts w:cs="Arial"/>
          <w:b/>
          <w:b/>
          <w:szCs w:val="26"/>
          <w:lang w:val="ru-RU" w:eastAsia="ru-RU"/>
        </w:rPr>
      </w:pPr>
      <w:r>
        <w:rPr>
          <w:rFonts w:cs="Arial"/>
          <w:b/>
          <w:szCs w:val="26"/>
          <w:lang w:val="ru-RU" w:eastAsia="ru-RU"/>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pPr>
        <w:pStyle w:val="Normal"/>
        <w:rPr>
          <w:rFonts w:cs="Arial"/>
          <w:szCs w:val="26"/>
          <w:lang w:val="ru-RU"/>
        </w:rPr>
      </w:pPr>
      <w:r>
        <w:rPr>
          <w:rFonts w:cs="Arial"/>
          <w:szCs w:val="26"/>
          <w:lang w:val="ru-RU"/>
        </w:rPr>
        <w:t xml:space="preserve">Теплопотребление населенного пункта на расчетный срок составит 66,4 МВт (57,14 Гкал/час), в том числе на </w:t>
      </w:r>
      <w:r>
        <w:rPr>
          <w:rFonts w:cs="Arial"/>
          <w:szCs w:val="26"/>
        </w:rPr>
        <w:t>I</w:t>
      </w:r>
      <w:r>
        <w:rPr>
          <w:rFonts w:cs="Arial"/>
          <w:szCs w:val="26"/>
          <w:lang w:val="ru-RU"/>
        </w:rPr>
        <w:t xml:space="preserve"> очередь строительства - 54,23 МВт (46,68 Гкал/час).</w:t>
      </w:r>
    </w:p>
    <w:p>
      <w:pPr>
        <w:pStyle w:val="Normal"/>
        <w:suppressLineNumbers/>
        <w:suppressAutoHyphens w:val="true"/>
        <w:jc w:val="right"/>
        <w:textAlignment w:val="baseline"/>
        <w:rPr>
          <w:rFonts w:cs="Arial"/>
          <w:iCs/>
          <w:szCs w:val="26"/>
          <w:lang w:val="ru-RU" w:eastAsia="zh-CN"/>
        </w:rPr>
      </w:pPr>
      <w:r>
        <w:rPr>
          <w:rFonts w:cs="Arial"/>
          <w:iCs/>
          <w:szCs w:val="26"/>
          <w:lang w:val="ru-RU" w:eastAsia="zh-CN"/>
        </w:rPr>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5</w:t>
      </w:r>
      <w:r>
        <w:fldChar w:fldCharType="end"/>
      </w:r>
      <w:r>
        <w:rPr>
          <w:rFonts w:cs="Arial"/>
          <w:iCs/>
          <w:szCs w:val="26"/>
          <w:lang w:val="ru-RU" w:eastAsia="zh-CN"/>
        </w:rPr>
        <w:t xml:space="preserve"> – Прогнозы </w:t>
      </w:r>
    </w:p>
    <w:p>
      <w:pPr>
        <w:pStyle w:val="Normal"/>
        <w:suppressLineNumbers/>
        <w:suppressAutoHyphens w:val="true"/>
        <w:jc w:val="right"/>
        <w:textAlignment w:val="baseline"/>
        <w:rPr>
          <w:rFonts w:cs="Arial"/>
          <w:iCs/>
          <w:szCs w:val="26"/>
          <w:lang w:val="ru-RU" w:eastAsia="zh-CN"/>
        </w:rPr>
      </w:pPr>
      <w:r>
        <w:rPr>
          <w:rFonts w:cs="Arial"/>
          <w:iCs/>
          <w:szCs w:val="26"/>
          <w:lang w:val="ru-RU" w:eastAsia="zh-CN"/>
        </w:rPr>
        <w:t>приростов объемов потребления тепловой энергии</w:t>
      </w:r>
    </w:p>
    <w:tbl>
      <w:tblPr>
        <w:tblW w:w="5000" w:type="pct"/>
        <w:jc w:val="left"/>
        <w:tblInd w:w="-77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20" w:type="dxa"/>
          <w:left w:w="220" w:type="dxa"/>
          <w:bottom w:w="120" w:type="dxa"/>
          <w:right w:w="240" w:type="dxa"/>
        </w:tblCellMar>
        <w:tblLook w:val="04a0"/>
      </w:tblPr>
      <w:tblGrid>
        <w:gridCol w:w="1244"/>
        <w:gridCol w:w="1404"/>
        <w:gridCol w:w="1677"/>
        <w:gridCol w:w="1676"/>
        <w:gridCol w:w="1676"/>
        <w:gridCol w:w="1676"/>
      </w:tblGrid>
      <w:tr>
        <w:trPr>
          <w:tblHeader w:val="true"/>
          <w:trHeight w:val="170" w:hRule="atLeast"/>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rPr>
            </w:pPr>
            <w:r>
              <w:rPr>
                <w:rFonts w:cs="Arial"/>
                <w:b/>
                <w:sz w:val="20"/>
                <w:szCs w:val="20"/>
              </w:rPr>
              <w:t>N п/п</w:t>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rPr>
            </w:pPr>
            <w:r>
              <w:rPr>
                <w:rFonts w:cs="Arial"/>
                <w:b/>
                <w:sz w:val="20"/>
                <w:szCs w:val="20"/>
              </w:rPr>
              <w:t>Наименование потребителей</w:t>
            </w:r>
          </w:p>
        </w:tc>
        <w:tc>
          <w:tcPr>
            <w:tcW w:w="1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lang w:val="ru-RU"/>
              </w:rPr>
            </w:pPr>
            <w:r>
              <w:rPr>
                <w:rFonts w:cs="Arial"/>
                <w:b/>
                <w:sz w:val="20"/>
                <w:szCs w:val="20"/>
                <w:lang w:val="ru-RU"/>
              </w:rPr>
              <w:t>Суммарное теплопотребление (Первая очередь), МВт</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lang w:val="ru-RU"/>
              </w:rPr>
            </w:pPr>
            <w:r>
              <w:rPr>
                <w:rFonts w:cs="Arial"/>
                <w:b/>
                <w:sz w:val="20"/>
                <w:szCs w:val="20"/>
                <w:lang w:val="ru-RU"/>
              </w:rPr>
              <w:t>Суммарное теплопотребление (Первая очередь), Гкал/ч</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b/>
                <w:b/>
                <w:sz w:val="20"/>
                <w:szCs w:val="20"/>
                <w:lang w:val="ru-RU"/>
              </w:rPr>
            </w:pPr>
            <w:r>
              <w:rPr>
                <w:rFonts w:cs="Arial"/>
                <w:b/>
                <w:sz w:val="20"/>
                <w:szCs w:val="20"/>
                <w:lang w:val="ru-RU"/>
              </w:rPr>
              <w:t>Суммарное теплопотребление (Расчетный срок), МВт</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1411" w:leader="none"/>
              </w:tabs>
              <w:ind w:hanging="0"/>
              <w:jc w:val="center"/>
              <w:rPr>
                <w:rFonts w:cs="Arial"/>
                <w:b/>
                <w:b/>
                <w:sz w:val="20"/>
                <w:szCs w:val="20"/>
                <w:lang w:val="ru-RU"/>
              </w:rPr>
            </w:pPr>
            <w:r>
              <w:rPr>
                <w:rFonts w:cs="Arial"/>
                <w:b/>
                <w:sz w:val="20"/>
                <w:szCs w:val="20"/>
                <w:lang w:val="ru-RU"/>
              </w:rPr>
              <w:t>Суммарное теплопотребление (Расчетный срок), Гкал/ч</w:t>
            </w:r>
          </w:p>
        </w:tc>
      </w:tr>
      <w:tr>
        <w:trPr>
          <w:trHeight w:val="170" w:hRule="atLeast"/>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1.</w:t>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Центральный район</w:t>
            </w:r>
          </w:p>
        </w:tc>
        <w:tc>
          <w:tcPr>
            <w:tcW w:w="1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18,11</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15,59</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28,94</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24,91</w:t>
            </w:r>
          </w:p>
        </w:tc>
      </w:tr>
      <w:tr>
        <w:trPr>
          <w:trHeight w:val="170" w:hRule="atLeast"/>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2.</w:t>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Северный район</w:t>
            </w:r>
          </w:p>
        </w:tc>
        <w:tc>
          <w:tcPr>
            <w:tcW w:w="1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13,45</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11,58</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12,27</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10,56</w:t>
            </w:r>
          </w:p>
        </w:tc>
      </w:tr>
      <w:tr>
        <w:trPr>
          <w:trHeight w:val="170" w:hRule="atLeast"/>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3.</w:t>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Восточный район</w:t>
            </w:r>
          </w:p>
        </w:tc>
        <w:tc>
          <w:tcPr>
            <w:tcW w:w="1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10,23</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8,80</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10,64</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9,15</w:t>
            </w:r>
          </w:p>
        </w:tc>
      </w:tr>
      <w:tr>
        <w:trPr>
          <w:trHeight w:val="170" w:hRule="atLeast"/>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4.</w:t>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lang w:val="ru-RU"/>
              </w:rPr>
            </w:pPr>
            <w:r>
              <w:rPr>
                <w:rFonts w:cs="Arial"/>
                <w:sz w:val="20"/>
                <w:szCs w:val="20"/>
                <w:lang w:val="ru-RU"/>
              </w:rPr>
              <w:t>район в границах улиц Чебунтанская, Приозерная, Туртасская</w:t>
            </w:r>
          </w:p>
        </w:tc>
        <w:tc>
          <w:tcPr>
            <w:tcW w:w="1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0,73</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0,63</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w:t>
            </w:r>
          </w:p>
        </w:tc>
      </w:tr>
      <w:tr>
        <w:trPr>
          <w:trHeight w:val="170" w:hRule="atLeast"/>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5.</w:t>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ст. Юность Комсомольская</w:t>
            </w:r>
          </w:p>
        </w:tc>
        <w:tc>
          <w:tcPr>
            <w:tcW w:w="1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4,64</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3,99</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5,89</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5,07</w:t>
            </w:r>
          </w:p>
        </w:tc>
      </w:tr>
      <w:tr>
        <w:trPr>
          <w:trHeight w:val="170" w:hRule="atLeast"/>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1134" w:leader="none"/>
              </w:tabs>
              <w:ind w:hanging="0"/>
              <w:jc w:val="center"/>
              <w:rPr>
                <w:rFonts w:cs="Arial"/>
                <w:sz w:val="20"/>
                <w:szCs w:val="20"/>
              </w:rPr>
            </w:pPr>
            <w:r>
              <w:rPr>
                <w:rFonts w:cs="Arial"/>
                <w:sz w:val="20"/>
                <w:szCs w:val="20"/>
              </w:rPr>
              <w:t>Итого по жилой застройке:</w:t>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47,16</w:t>
            </w:r>
          </w:p>
        </w:tc>
        <w:tc>
          <w:tcPr>
            <w:tcW w:w="1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40,59</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57,74</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49,69</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sz w:val="20"/>
                <w:szCs w:val="20"/>
              </w:rPr>
            </w:pPr>
            <w:r>
              <w:rPr>
                <w:rFonts w:cs="Arial"/>
                <w:sz w:val="20"/>
                <w:szCs w:val="20"/>
              </w:rPr>
            </w:r>
          </w:p>
        </w:tc>
      </w:tr>
      <w:tr>
        <w:trPr>
          <w:trHeight w:val="170" w:hRule="atLeast"/>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1134" w:leader="none"/>
              </w:tabs>
              <w:ind w:hanging="0"/>
              <w:jc w:val="center"/>
              <w:rPr>
                <w:rFonts w:cs="Arial"/>
                <w:sz w:val="20"/>
                <w:szCs w:val="20"/>
              </w:rPr>
            </w:pPr>
            <w:r>
              <w:rPr>
                <w:rFonts w:cs="Arial"/>
                <w:sz w:val="20"/>
                <w:szCs w:val="20"/>
              </w:rPr>
              <w:t>Неучтенные расходы 15%:</w:t>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7,07</w:t>
            </w:r>
          </w:p>
        </w:tc>
        <w:tc>
          <w:tcPr>
            <w:tcW w:w="1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6,09</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8,66</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7,45</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sz w:val="20"/>
                <w:szCs w:val="20"/>
              </w:rPr>
            </w:pPr>
            <w:r>
              <w:rPr>
                <w:rFonts w:cs="Arial"/>
                <w:sz w:val="20"/>
                <w:szCs w:val="20"/>
              </w:rPr>
            </w:r>
          </w:p>
        </w:tc>
      </w:tr>
      <w:tr>
        <w:trPr>
          <w:trHeight w:val="170" w:hRule="atLeast"/>
        </w:trPr>
        <w:tc>
          <w:tcPr>
            <w:tcW w:w="12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tabs>
                <w:tab w:val="left" w:pos="1134" w:leader="none"/>
              </w:tabs>
              <w:ind w:hanging="0"/>
              <w:jc w:val="center"/>
              <w:rPr>
                <w:rFonts w:cs="Arial"/>
                <w:sz w:val="20"/>
                <w:szCs w:val="20"/>
              </w:rPr>
            </w:pPr>
            <w:r>
              <w:rPr>
                <w:rFonts w:cs="Arial"/>
                <w:sz w:val="20"/>
                <w:szCs w:val="20"/>
              </w:rPr>
              <w:t>Всего по населенному пункту:</w:t>
            </w:r>
          </w:p>
        </w:tc>
        <w:tc>
          <w:tcPr>
            <w:tcW w:w="14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54,23</w:t>
            </w:r>
          </w:p>
        </w:tc>
        <w:tc>
          <w:tcPr>
            <w:tcW w:w="16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46,68</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66,40</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220" w:type="dxa"/>
            </w:tcMar>
            <w:vAlign w:val="center"/>
          </w:tcPr>
          <w:p>
            <w:pPr>
              <w:pStyle w:val="Normal"/>
              <w:ind w:hanging="0"/>
              <w:jc w:val="center"/>
              <w:rPr>
                <w:rFonts w:cs="Arial"/>
                <w:sz w:val="20"/>
                <w:szCs w:val="20"/>
              </w:rPr>
            </w:pPr>
            <w:r>
              <w:rPr>
                <w:rFonts w:cs="Arial"/>
                <w:sz w:val="20"/>
                <w:szCs w:val="20"/>
              </w:rPr>
              <w:t>57,14</w:t>
            </w:r>
          </w:p>
        </w:tc>
        <w:tc>
          <w:tcPr>
            <w:tcW w:w="16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bottom w:w="0" w:type="dxa"/>
              <w:right w:w="0" w:type="dxa"/>
            </w:tcMar>
            <w:vAlign w:val="center"/>
          </w:tcPr>
          <w:p>
            <w:pPr>
              <w:pStyle w:val="Normal"/>
              <w:ind w:hanging="0"/>
              <w:jc w:val="center"/>
              <w:rPr>
                <w:rFonts w:cs="Arial"/>
                <w:sz w:val="20"/>
                <w:szCs w:val="20"/>
              </w:rPr>
            </w:pPr>
            <w:r>
              <w:rPr>
                <w:rFonts w:cs="Arial"/>
                <w:sz w:val="20"/>
                <w:szCs w:val="20"/>
              </w:rPr>
            </w:r>
          </w:p>
        </w:tc>
      </w:tr>
    </w:tbl>
    <w:p>
      <w:pPr>
        <w:pStyle w:val="Normal"/>
        <w:ind w:hanging="0"/>
        <w:rPr>
          <w:rFonts w:cs="Arial"/>
          <w:szCs w:val="26"/>
        </w:rPr>
      </w:pPr>
      <w:r>
        <w:rPr>
          <w:rFonts w:cs="Arial"/>
          <w:szCs w:val="26"/>
        </w:rPr>
      </w:r>
    </w:p>
    <w:p>
      <w:pPr>
        <w:pStyle w:val="Normal"/>
        <w:ind w:hanging="0"/>
        <w:rPr>
          <w:rFonts w:cs="Arial"/>
          <w:szCs w:val="26"/>
        </w:rPr>
      </w:pPr>
      <w:r>
        <w:rPr>
          <w:rFonts w:cs="Arial"/>
          <w:szCs w:val="26"/>
        </w:rPr>
        <w:t>Примечание:</w:t>
      </w:r>
    </w:p>
    <w:p>
      <w:pPr>
        <w:pStyle w:val="Normal"/>
        <w:rPr>
          <w:rFonts w:cs="Arial"/>
          <w:szCs w:val="26"/>
          <w:lang w:val="ru-RU"/>
        </w:rPr>
      </w:pPr>
      <w:r>
        <w:rPr>
          <w:rFonts w:cs="Arial"/>
          <w:szCs w:val="26"/>
          <w:lang w:val="ru-RU"/>
        </w:rPr>
        <w:t>1. Расчет выполнен в соответствии со СНиП 2.04.07-86 Тепловые сети.</w:t>
      </w:r>
    </w:p>
    <w:p>
      <w:pPr>
        <w:pStyle w:val="Normal"/>
        <w:rPr>
          <w:rFonts w:cs="Arial"/>
          <w:szCs w:val="26"/>
          <w:lang w:val="ru-RU"/>
        </w:rPr>
      </w:pPr>
      <w:r>
        <w:rPr>
          <w:rFonts w:cs="Arial"/>
          <w:szCs w:val="26"/>
          <w:lang w:val="ru-RU"/>
        </w:rPr>
        <w:t>2. Суммарное теплопотребление состоит из тепловой нагрузки на отопление, вентиляцию и горячее водоснабжение жилой застройки и общественных зданий и из тепловой нагрузки на отопление зданий.</w:t>
      </w:r>
    </w:p>
    <w:p>
      <w:pPr>
        <w:pStyle w:val="Normal"/>
        <w:rPr>
          <w:rFonts w:cs="Arial"/>
          <w:szCs w:val="26"/>
          <w:lang w:val="ru-RU"/>
        </w:rPr>
      </w:pPr>
      <w:r>
        <w:rPr>
          <w:rFonts w:cs="Arial"/>
          <w:szCs w:val="26"/>
          <w:lang w:val="ru-RU"/>
        </w:rPr>
        <w:t>3. Расчетная температура принята - 40 °</w:t>
      </w:r>
      <w:r>
        <w:rPr>
          <w:rFonts w:cs="Arial"/>
          <w:szCs w:val="26"/>
        </w:rPr>
        <w:t>C</w:t>
      </w:r>
      <w:r>
        <w:rPr>
          <w:rFonts w:cs="Arial"/>
          <w:szCs w:val="26"/>
          <w:lang w:val="ru-RU"/>
        </w:rPr>
        <w:t>.</w:t>
      </w:r>
    </w:p>
    <w:p>
      <w:pPr>
        <w:pStyle w:val="Normal"/>
        <w:rPr>
          <w:rFonts w:cs="Arial"/>
          <w:szCs w:val="26"/>
          <w:lang w:val="ru-RU"/>
        </w:rPr>
      </w:pPr>
      <w:r>
        <w:rPr>
          <w:rFonts w:cs="Arial"/>
          <w:szCs w:val="26"/>
          <w:lang w:val="ru-RU"/>
        </w:rPr>
        <w:t>Основными источниками теплоснабжения поселка приняты:</w:t>
      </w:r>
    </w:p>
    <w:p>
      <w:pPr>
        <w:pStyle w:val="Normal"/>
        <w:rPr>
          <w:rFonts w:cs="Arial"/>
          <w:szCs w:val="26"/>
          <w:lang w:val="ru-RU"/>
        </w:rPr>
      </w:pPr>
      <w:r>
        <w:rPr>
          <w:rFonts w:cs="Arial"/>
          <w:szCs w:val="26"/>
          <w:lang w:val="ru-RU"/>
        </w:rPr>
        <w:t>- центральная котельная, расположенная в квартале ул. Октябрьская;</w:t>
      </w:r>
    </w:p>
    <w:p>
      <w:pPr>
        <w:pStyle w:val="Normal"/>
        <w:rPr>
          <w:rFonts w:cs="Arial"/>
          <w:szCs w:val="26"/>
          <w:lang w:val="ru-RU"/>
        </w:rPr>
      </w:pPr>
      <w:r>
        <w:rPr>
          <w:rFonts w:cs="Arial"/>
          <w:szCs w:val="26"/>
          <w:lang w:val="ru-RU"/>
        </w:rPr>
        <w:t>- котельная ул. Газовиков;</w:t>
      </w:r>
    </w:p>
    <w:p>
      <w:pPr>
        <w:pStyle w:val="Normal"/>
        <w:rPr>
          <w:rFonts w:cs="Arial"/>
          <w:szCs w:val="26"/>
          <w:lang w:val="ru-RU"/>
        </w:rPr>
      </w:pPr>
      <w:r>
        <w:rPr>
          <w:rFonts w:cs="Arial"/>
          <w:szCs w:val="26"/>
          <w:lang w:val="ru-RU"/>
        </w:rPr>
        <w:t>- котельная по ул. Молодежная;</w:t>
      </w:r>
    </w:p>
    <w:p>
      <w:pPr>
        <w:pStyle w:val="Normal"/>
        <w:rPr>
          <w:rFonts w:cs="Arial"/>
          <w:szCs w:val="26"/>
          <w:lang w:val="ru-RU"/>
        </w:rPr>
      </w:pPr>
      <w:r>
        <w:rPr>
          <w:rFonts w:cs="Arial"/>
          <w:szCs w:val="26"/>
          <w:lang w:val="ru-RU"/>
        </w:rPr>
        <w:t>- котельная ст. Юность Комсомольская.</w:t>
      </w:r>
    </w:p>
    <w:p>
      <w:pPr>
        <w:pStyle w:val="Normal"/>
        <w:rPr>
          <w:rFonts w:cs="Arial"/>
          <w:szCs w:val="26"/>
          <w:lang w:val="ru-RU"/>
        </w:rPr>
      </w:pPr>
      <w:r>
        <w:rPr>
          <w:rFonts w:cs="Arial"/>
          <w:szCs w:val="26"/>
          <w:lang w:val="ru-RU"/>
        </w:rPr>
        <w:t>На первую очередь строительства теплоснабжение существующей застройки Центрального района сохраняется по существующей схеме от центральной котельной. В связи со строительством нового жилья в квартале ул. Ленина, Школьная, Победы и гостиничного комплекса по ул. Победы сеть теплопроводов расширится.</w:t>
      </w:r>
    </w:p>
    <w:p>
      <w:pPr>
        <w:pStyle w:val="Normal"/>
        <w:rPr>
          <w:rFonts w:cs="Arial"/>
          <w:szCs w:val="26"/>
          <w:lang w:val="ru-RU"/>
        </w:rPr>
      </w:pPr>
      <w:r>
        <w:rPr>
          <w:rFonts w:cs="Arial"/>
          <w:szCs w:val="26"/>
          <w:lang w:val="ru-RU"/>
        </w:rPr>
        <w:t>На расчетный срок существующей производительности котельной будет недостаточно, так как нагрузка на котельную возрастет до 10,0 Гкал/час.</w:t>
      </w:r>
    </w:p>
    <w:p>
      <w:pPr>
        <w:pStyle w:val="Normal"/>
        <w:rPr>
          <w:rFonts w:cs="Arial"/>
          <w:szCs w:val="26"/>
          <w:lang w:val="ru-RU"/>
        </w:rPr>
      </w:pPr>
      <w:r>
        <w:rPr>
          <w:rFonts w:cs="Arial"/>
          <w:szCs w:val="26"/>
          <w:lang w:val="ru-RU"/>
        </w:rPr>
        <w:t>Теплоснабжение существующей и проектируемой жилой застройки п. Газовиков предусмотрено от собственной газовой котельной, производительности которой достаточно на расчетный срок.</w:t>
      </w:r>
    </w:p>
    <w:p>
      <w:pPr>
        <w:pStyle w:val="Normal"/>
        <w:rPr>
          <w:rFonts w:cs="Arial"/>
          <w:szCs w:val="26"/>
          <w:lang w:val="ru-RU"/>
        </w:rPr>
      </w:pPr>
      <w:r>
        <w:rPr>
          <w:rFonts w:cs="Arial"/>
          <w:szCs w:val="26"/>
          <w:lang w:val="ru-RU"/>
        </w:rPr>
        <w:t>Теплоснабжение существующей жилой застройки от котельной ст. Юность Комсомольская сохраняется по существующей схеме.</w:t>
      </w:r>
    </w:p>
    <w:p>
      <w:pPr>
        <w:pStyle w:val="Normal"/>
        <w:rPr>
          <w:rFonts w:cs="Arial"/>
          <w:szCs w:val="26"/>
          <w:lang w:val="ru-RU"/>
        </w:rPr>
      </w:pPr>
      <w:r>
        <w:rPr>
          <w:rFonts w:cs="Arial"/>
          <w:szCs w:val="26"/>
          <w:lang w:val="ru-RU"/>
        </w:rPr>
        <w:t>Для новой и существующей одно-, двухквартирной застройки предлагается установка поквартирных газовых водонагревателей и отопительных установок для горячего водоснабжения и отопления.</w:t>
      </w:r>
    </w:p>
    <w:p>
      <w:pPr>
        <w:pStyle w:val="Normal"/>
        <w:rPr>
          <w:rFonts w:cs="Arial"/>
          <w:szCs w:val="26"/>
          <w:lang w:val="ru-RU"/>
        </w:rPr>
      </w:pPr>
      <w:r>
        <w:rPr>
          <w:rFonts w:cs="Arial"/>
          <w:szCs w:val="26"/>
          <w:lang w:val="ru-RU"/>
        </w:rPr>
      </w:r>
    </w:p>
    <w:p>
      <w:pPr>
        <w:pStyle w:val="Normal"/>
        <w:numPr>
          <w:ilvl w:val="1"/>
          <w:numId w:val="1"/>
        </w:numPr>
        <w:ind w:left="0" w:hanging="0"/>
        <w:jc w:val="center"/>
        <w:outlineLvl w:val="1"/>
        <w:rPr>
          <w:rFonts w:cs="Arial"/>
          <w:b/>
          <w:b/>
          <w:szCs w:val="26"/>
          <w:lang w:val="ru-RU" w:eastAsia="ru-RU"/>
        </w:rPr>
      </w:pPr>
      <w:bookmarkStart w:id="12" w:name="_Toc398022653"/>
      <w:bookmarkEnd w:id="12"/>
      <w:r>
        <w:rPr>
          <w:rFonts w:cs="Arial"/>
          <w:b/>
          <w:szCs w:val="26"/>
          <w:lang w:val="ru-RU" w:eastAsia="ru-RU"/>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pPr>
        <w:pStyle w:val="Normal"/>
        <w:rPr>
          <w:rFonts w:cs="Arial"/>
          <w:szCs w:val="26"/>
          <w:lang w:val="ru-RU"/>
        </w:rPr>
      </w:pPr>
      <w:r>
        <w:rPr>
          <w:rFonts w:cs="Arial"/>
          <w:szCs w:val="26"/>
          <w:lang w:val="ru-RU"/>
        </w:rPr>
        <w:t>Изменений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генеральным планом не предусмотрено.</w:t>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numPr>
          <w:ilvl w:val="0"/>
          <w:numId w:val="1"/>
        </w:numPr>
        <w:spacing w:before="0" w:after="0"/>
        <w:ind w:left="0" w:hanging="0"/>
        <w:contextualSpacing/>
        <w:jc w:val="center"/>
        <w:outlineLvl w:val="0"/>
        <w:rPr>
          <w:rFonts w:cs="Arial"/>
          <w:b/>
          <w:b/>
          <w:szCs w:val="26"/>
          <w:lang w:val="ru-RU" w:eastAsia="ru-RU"/>
        </w:rPr>
      </w:pPr>
      <w:bookmarkStart w:id="13" w:name="_Toc398022654"/>
      <w:bookmarkEnd w:id="13"/>
      <w:r>
        <w:rPr>
          <w:rFonts w:cs="Arial"/>
          <w:b/>
          <w:szCs w:val="26"/>
          <w:lang w:val="ru-RU" w:eastAsia="ru-RU"/>
        </w:rPr>
        <w:t>Перспективные балансы тепловой мощности источников тепловой энергии и тепловой нагрузки потребителей</w:t>
      </w:r>
    </w:p>
    <w:p>
      <w:pPr>
        <w:pStyle w:val="Normal"/>
        <w:numPr>
          <w:ilvl w:val="1"/>
          <w:numId w:val="1"/>
        </w:numPr>
        <w:ind w:left="0" w:hanging="0"/>
        <w:jc w:val="center"/>
        <w:outlineLvl w:val="1"/>
        <w:rPr>
          <w:rFonts w:cs="Arial"/>
          <w:b/>
          <w:b/>
          <w:szCs w:val="26"/>
          <w:lang w:val="ru-RU" w:eastAsia="ru-RU"/>
        </w:rPr>
      </w:pPr>
      <w:bookmarkStart w:id="14" w:name="_Toc398022655"/>
      <w:bookmarkEnd w:id="14"/>
      <w:r>
        <w:rPr>
          <w:rFonts w:cs="Arial"/>
          <w:b/>
          <w:szCs w:val="26"/>
          <w:lang w:val="ru-RU" w:eastAsia="ru-RU"/>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pPr>
        <w:pStyle w:val="Normal"/>
        <w:rPr>
          <w:rFonts w:cs="Arial"/>
          <w:szCs w:val="26"/>
          <w:lang w:val="ru-RU"/>
        </w:rPr>
      </w:pPr>
      <w:r>
        <w:rPr>
          <w:rFonts w:cs="Arial"/>
          <w:szCs w:val="26"/>
          <w:lang w:val="ru-RU"/>
        </w:rPr>
        <w:t>Согласно п.</w:t>
      </w:r>
      <w:r>
        <w:rPr>
          <w:rFonts w:cs="Arial"/>
          <w:szCs w:val="26"/>
        </w:rPr>
        <w:t> </w:t>
      </w:r>
      <w:r>
        <w:rPr>
          <w:rFonts w:cs="Arial"/>
          <w:szCs w:val="26"/>
          <w:lang w:val="ru-RU"/>
        </w:rPr>
        <w:t>30, ст.</w:t>
      </w:r>
      <w:r>
        <w:rPr>
          <w:rFonts w:cs="Arial"/>
          <w:szCs w:val="26"/>
        </w:rPr>
        <w:t> </w:t>
      </w:r>
      <w:r>
        <w:rPr>
          <w:rFonts w:cs="Arial"/>
          <w:szCs w:val="26"/>
          <w:lang w:val="ru-RU"/>
        </w:rPr>
        <w:t xml:space="preserve">2, Федерального закона №190-ФЗ от 27.07.2010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pPr>
        <w:pStyle w:val="Normal"/>
        <w:rPr>
          <w:rFonts w:cs="Arial"/>
          <w:szCs w:val="26"/>
          <w:lang w:val="ru-RU"/>
        </w:rPr>
      </w:pPr>
      <w:r>
        <w:rPr>
          <w:rFonts w:cs="Arial"/>
          <w:szCs w:val="26"/>
          <w:lang w:val="ru-RU"/>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pPr>
        <w:pStyle w:val="Normal"/>
        <w:rPr>
          <w:rFonts w:cs="Arial"/>
          <w:szCs w:val="26"/>
          <w:lang w:val="ru-RU"/>
        </w:rPr>
      </w:pPr>
      <w:r>
        <w:rPr>
          <w:rFonts w:cs="Arial"/>
          <w:szCs w:val="26"/>
          <w:lang w:val="ru-RU"/>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pPr>
        <w:pStyle w:val="Normal"/>
        <w:rPr>
          <w:rFonts w:cs="Arial"/>
          <w:szCs w:val="26"/>
          <w:lang w:val="ru-RU"/>
        </w:rPr>
      </w:pPr>
      <w:r>
        <w:rPr>
          <w:rFonts w:cs="Arial"/>
          <w:szCs w:val="26"/>
          <w:lang w:val="ru-RU"/>
        </w:rPr>
        <w:t>затраты на строительство новых участков тепловой сети и реконструкция</w:t>
      </w:r>
    </w:p>
    <w:p>
      <w:pPr>
        <w:pStyle w:val="Normal"/>
        <w:spacing w:before="0" w:after="0"/>
        <w:contextualSpacing/>
        <w:rPr>
          <w:rFonts w:cs="Arial"/>
          <w:szCs w:val="26"/>
          <w:lang w:val="ru-RU" w:eastAsia="zh-CN"/>
        </w:rPr>
      </w:pPr>
      <w:r>
        <w:rPr>
          <w:rFonts w:cs="Arial"/>
          <w:szCs w:val="26"/>
          <w:lang w:val="ru-RU" w:eastAsia="zh-CN"/>
        </w:rPr>
        <w:t xml:space="preserve">существующих; </w:t>
      </w:r>
    </w:p>
    <w:p>
      <w:pPr>
        <w:pStyle w:val="Normal"/>
        <w:spacing w:before="0" w:after="0"/>
        <w:contextualSpacing/>
        <w:rPr>
          <w:rFonts w:cs="Arial"/>
          <w:szCs w:val="26"/>
          <w:lang w:val="ru-RU" w:eastAsia="zh-CN"/>
        </w:rPr>
      </w:pPr>
      <w:r>
        <w:rPr>
          <w:rFonts w:cs="Arial"/>
          <w:szCs w:val="26"/>
          <w:lang w:val="ru-RU" w:eastAsia="zh-CN"/>
        </w:rPr>
        <w:t xml:space="preserve">пропускная способность существующих магистральных тепловых сетей; </w:t>
      </w:r>
    </w:p>
    <w:p>
      <w:pPr>
        <w:pStyle w:val="Normal"/>
        <w:spacing w:before="0" w:after="0"/>
        <w:contextualSpacing/>
        <w:rPr>
          <w:rFonts w:cs="Arial"/>
          <w:szCs w:val="26"/>
          <w:lang w:val="ru-RU" w:eastAsia="zh-CN"/>
        </w:rPr>
      </w:pPr>
      <w:r>
        <w:rPr>
          <w:rFonts w:cs="Arial"/>
          <w:szCs w:val="26"/>
          <w:lang w:val="ru-RU" w:eastAsia="zh-CN"/>
        </w:rPr>
        <w:t xml:space="preserve">затраты на перекачку теплоносителя в тепловых сетях; </w:t>
      </w:r>
    </w:p>
    <w:p>
      <w:pPr>
        <w:pStyle w:val="Normal"/>
        <w:spacing w:before="0" w:after="0"/>
        <w:contextualSpacing/>
        <w:rPr>
          <w:rFonts w:cs="Arial"/>
          <w:szCs w:val="26"/>
          <w:lang w:val="ru-RU" w:eastAsia="zh-CN"/>
        </w:rPr>
      </w:pPr>
      <w:r>
        <w:rPr>
          <w:rFonts w:cs="Arial"/>
          <w:szCs w:val="26"/>
          <w:lang w:val="ru-RU" w:eastAsia="zh-CN"/>
        </w:rPr>
        <w:t xml:space="preserve">потери тепловой энергии в тепловых сетях при ее передаче; </w:t>
      </w:r>
    </w:p>
    <w:p>
      <w:pPr>
        <w:pStyle w:val="Normal"/>
        <w:rPr>
          <w:rFonts w:cs="Arial"/>
          <w:szCs w:val="26"/>
          <w:lang w:val="ru-RU" w:eastAsia="zh-CN"/>
        </w:rPr>
      </w:pPr>
      <w:r>
        <w:rPr>
          <w:rFonts w:cs="Arial"/>
          <w:szCs w:val="26"/>
          <w:lang w:val="ru-RU" w:eastAsia="zh-CN"/>
        </w:rPr>
        <w:t xml:space="preserve">надежность системы теплоснабжения. </w:t>
      </w:r>
    </w:p>
    <w:p>
      <w:pPr>
        <w:pStyle w:val="Normal"/>
        <w:rPr>
          <w:rFonts w:cs="Arial"/>
          <w:szCs w:val="26"/>
          <w:lang w:val="ru-RU" w:eastAsia="zh-CN"/>
        </w:rPr>
      </w:pPr>
      <w:r>
        <w:rPr>
          <w:rFonts w:cs="Arial"/>
          <w:szCs w:val="26"/>
          <w:lang w:val="ru-RU" w:eastAsia="zh-CN"/>
        </w:rPr>
        <w:t xml:space="preserve">Для выполнения расчёта воспользуемся статьёй Ю.В. Кожарина и Д.А. Волкова «К вопросу определения эффективного радиуса теплоснабжения», опубликованной в журнале «Новости теплоснабжения», №8, 2012 г. По изложенной в статье методике для определения максимального радиус подключения новых потребителей к существующей тепловой сети вначале дл подключаемой нагрузки при задаваемой величине удельного падения давления 5 кгс/(м2*м)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равной величине 5% от годового отпуска тепла к подключаемому потребителю. Выполняется расчёт нормативных тепловых потерь трубопровода длиной 100м. По формуле (1) определяется радиус теплоснабжения. </w:t>
      </w:r>
    </w:p>
    <w:p>
      <w:pPr>
        <w:pStyle w:val="Normal"/>
        <w:rPr>
          <w:rFonts w:cs="Arial"/>
          <w:szCs w:val="26"/>
          <w:lang w:val="ru-RU" w:eastAsia="zh-CN"/>
        </w:rPr>
      </w:pPr>
      <w:r>
        <w:rPr/>
        <w:drawing>
          <wp:inline distT="0" distB="0" distL="0" distR="0">
            <wp:extent cx="6029960" cy="1400175"/>
            <wp:effectExtent l="0" t="0" r="0" b="0"/>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5"/>
                    <a:stretch>
                      <a:fillRect/>
                    </a:stretch>
                  </pic:blipFill>
                  <pic:spPr bwMode="auto">
                    <a:xfrm>
                      <a:off x="0" y="0"/>
                      <a:ext cx="6029960" cy="1400175"/>
                    </a:xfrm>
                    <a:prstGeom prst="rect">
                      <a:avLst/>
                    </a:prstGeom>
                  </pic:spPr>
                </pic:pic>
              </a:graphicData>
            </a:graphic>
          </wp:inline>
        </w:drawing>
      </w:r>
    </w:p>
    <w:p>
      <w:pPr>
        <w:pStyle w:val="Normal"/>
        <w:rPr>
          <w:rFonts w:cs="Arial"/>
          <w:szCs w:val="26"/>
          <w:lang w:val="ru-RU"/>
        </w:rPr>
      </w:pPr>
      <w:r>
        <w:rPr>
          <w:rFonts w:cs="Arial"/>
          <w:szCs w:val="26"/>
          <w:lang w:val="ru-RU"/>
        </w:rPr>
        <w:t xml:space="preserve">В таблице приведены расчеты по определению эффективного радиуса теплоснабжения для вновь присоединяемых потребителей. </w:t>
      </w:r>
    </w:p>
    <w:p>
      <w:pPr>
        <w:pStyle w:val="Normal"/>
        <w:rPr>
          <w:rFonts w:cs="Arial"/>
          <w:szCs w:val="26"/>
          <w:lang w:val="ru-RU"/>
        </w:rPr>
      </w:pPr>
      <w:r>
        <w:rPr>
          <w:rFonts w:cs="Arial"/>
          <w:szCs w:val="26"/>
          <w:lang w:val="ru-RU"/>
        </w:rPr>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6</w:t>
      </w:r>
      <w:r>
        <w:fldChar w:fldCharType="end"/>
      </w:r>
      <w:r>
        <w:rPr>
          <w:rFonts w:cs="Arial"/>
          <w:iCs/>
          <w:szCs w:val="26"/>
          <w:lang w:val="ru-RU" w:eastAsia="zh-CN"/>
        </w:rPr>
        <w:t xml:space="preserve"> – Расчет эффективного радиуса теплоснабжения</w:t>
      </w:r>
    </w:p>
    <w:p>
      <w:pPr>
        <w:pStyle w:val="Normal"/>
        <w:ind w:hanging="0"/>
        <w:jc w:val="left"/>
        <w:rPr>
          <w:rFonts w:cs="Arial"/>
          <w:szCs w:val="26"/>
        </w:rPr>
      </w:pPr>
      <w:r>
        <w:rPr/>
        <w:drawing>
          <wp:inline distT="0" distB="0" distL="0" distR="0">
            <wp:extent cx="6120130" cy="3248025"/>
            <wp:effectExtent l="0" t="0" r="0" b="0"/>
            <wp:docPr id="3"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
                    <pic:cNvPicPr>
                      <a:picLocks noChangeAspect="1" noChangeArrowheads="1"/>
                    </pic:cNvPicPr>
                  </pic:nvPicPr>
                  <pic:blipFill>
                    <a:blip r:embed="rId6"/>
                    <a:stretch>
                      <a:fillRect/>
                    </a:stretch>
                  </pic:blipFill>
                  <pic:spPr bwMode="auto">
                    <a:xfrm>
                      <a:off x="0" y="0"/>
                      <a:ext cx="6120130" cy="3248025"/>
                    </a:xfrm>
                    <a:prstGeom prst="rect">
                      <a:avLst/>
                    </a:prstGeom>
                  </pic:spPr>
                </pic:pic>
              </a:graphicData>
            </a:graphic>
          </wp:inline>
        </w:drawing>
      </w:r>
    </w:p>
    <w:p>
      <w:pPr>
        <w:pStyle w:val="Normal"/>
        <w:jc w:val="left"/>
        <w:rPr>
          <w:rFonts w:cs="Arial"/>
          <w:szCs w:val="26"/>
        </w:rPr>
      </w:pPr>
      <w:r>
        <w:rPr>
          <w:rFonts w:cs="Arial"/>
          <w:szCs w:val="26"/>
        </w:rPr>
      </w:r>
    </w:p>
    <w:p>
      <w:pPr>
        <w:pStyle w:val="Normal"/>
        <w:rPr/>
      </w:pPr>
      <w:r>
        <w:rPr>
          <w:rFonts w:cs="Arial"/>
          <w:szCs w:val="26"/>
          <w:lang w:val="ru-RU"/>
        </w:rPr>
        <w:t xml:space="preserve">Исходя из полученных данных о характеристиках трубопроводов, присоединенной нагрузке и установленной мощности котельных получаем радиусы эффективного теплоснабжения котельных п. Туртас, которые приведен в </w:t>
      </w:r>
      <w:r>
        <w:rPr>
          <w:rFonts w:cs="Arial"/>
          <w:szCs w:val="26"/>
          <w:lang w:val="ru-RU"/>
        </w:rPr>
        <w:fldChar w:fldCharType="begin"/>
      </w:r>
      <w:r>
        <w:instrText> REF _Ref397002045 \h </w:instrText>
      </w:r>
      <w:r>
        <w:fldChar w:fldCharType="separate"/>
      </w:r>
      <w:r>
        <w:t>Таблица 7</w:t>
      </w:r>
      <w:r>
        <w:fldChar w:fldCharType="end"/>
      </w:r>
      <w:r>
        <w:rPr>
          <w:rFonts w:cs="Arial"/>
          <w:szCs w:val="26"/>
          <w:lang w:val="ru-RU"/>
        </w:rPr>
        <w:t>.</w:t>
      </w:r>
    </w:p>
    <w:p>
      <w:pPr>
        <w:pStyle w:val="Normal"/>
        <w:rPr>
          <w:rFonts w:cs="Arial"/>
          <w:szCs w:val="26"/>
          <w:lang w:val="ru-RU"/>
        </w:rPr>
      </w:pPr>
      <w:r>
        <w:rPr>
          <w:rFonts w:cs="Arial"/>
          <w:szCs w:val="26"/>
          <w:lang w:val="ru-RU"/>
        </w:rPr>
      </w:r>
    </w:p>
    <w:p>
      <w:pPr>
        <w:pStyle w:val="Normal"/>
        <w:jc w:val="right"/>
        <w:rPr/>
      </w:pPr>
      <w:bookmarkStart w:id="15" w:name="_Ref397002045"/>
      <w:r>
        <w:rPr>
          <w:rFonts w:cs="Arial"/>
          <w:szCs w:val="26"/>
          <w:lang w:val="ru-RU"/>
        </w:rPr>
        <w:t xml:space="preserve">Таблица </w:t>
      </w:r>
      <w:r>
        <w:rPr>
          <w:rFonts w:cs="Arial"/>
          <w:szCs w:val="26"/>
          <w:lang w:val="ru-RU"/>
        </w:rPr>
        <w:fldChar w:fldCharType="begin"/>
      </w:r>
      <w:r>
        <w:instrText> SEQ Таблица \* ARABIC </w:instrText>
      </w:r>
      <w:r>
        <w:fldChar w:fldCharType="separate"/>
      </w:r>
      <w:r>
        <w:t>7</w:t>
      </w:r>
      <w:r>
        <w:fldChar w:fldCharType="end"/>
      </w:r>
      <w:bookmarkEnd w:id="15"/>
      <w:r>
        <w:rPr>
          <w:rFonts w:cs="Arial"/>
          <w:szCs w:val="26"/>
          <w:lang w:val="ru-RU"/>
        </w:rPr>
        <w:t xml:space="preserve"> – Радиус эффективного </w:t>
      </w:r>
    </w:p>
    <w:p>
      <w:pPr>
        <w:pStyle w:val="Normal"/>
        <w:jc w:val="right"/>
        <w:rPr>
          <w:rFonts w:cs="Arial"/>
          <w:szCs w:val="26"/>
          <w:lang w:val="ru-RU"/>
        </w:rPr>
      </w:pPr>
      <w:r>
        <w:rPr>
          <w:rFonts w:cs="Arial"/>
          <w:szCs w:val="26"/>
          <w:lang w:val="ru-RU"/>
        </w:rPr>
        <w:t>теплоснабжения котельных п. Туртас</w:t>
      </w:r>
    </w:p>
    <w:tbl>
      <w:tblPr>
        <w:tblStyle w:val="afffff3"/>
        <w:tblW w:w="9570" w:type="dxa"/>
        <w:jc w:val="left"/>
        <w:tblInd w:w="-15" w:type="dxa"/>
        <w:tblCellMar>
          <w:top w:w="0" w:type="dxa"/>
          <w:left w:w="93" w:type="dxa"/>
          <w:bottom w:w="0" w:type="dxa"/>
          <w:right w:w="108" w:type="dxa"/>
        </w:tblCellMar>
        <w:tblLook w:val="04a0"/>
      </w:tblPr>
      <w:tblGrid>
        <w:gridCol w:w="4785"/>
        <w:gridCol w:w="4784"/>
      </w:tblGrid>
      <w:tr>
        <w:trPr>
          <w:trHeight w:val="20" w:hRule="atLeast"/>
        </w:trPr>
        <w:tc>
          <w:tcPr>
            <w:tcW w:w="4785" w:type="dxa"/>
            <w:tcBorders/>
            <w:shd w:color="auto" w:fill="auto" w:val="clear"/>
            <w:tcMar>
              <w:left w:w="93" w:type="dxa"/>
            </w:tcMar>
            <w:vAlign w:val="bottom"/>
          </w:tcPr>
          <w:p>
            <w:pPr>
              <w:pStyle w:val="Normal"/>
              <w:spacing w:lineRule="auto" w:line="240"/>
              <w:ind w:hanging="0"/>
              <w:jc w:val="center"/>
              <w:rPr>
                <w:rFonts w:cs="Arial"/>
                <w:b/>
                <w:b/>
                <w:bCs/>
                <w:color w:val="000000"/>
                <w:sz w:val="20"/>
                <w:szCs w:val="20"/>
              </w:rPr>
            </w:pPr>
            <w:r>
              <w:rPr>
                <w:rFonts w:cs="Arial" w:ascii="Calibri" w:hAnsi="Calibri"/>
                <w:b/>
                <w:bCs/>
                <w:color w:val="000000"/>
                <w:sz w:val="20"/>
                <w:szCs w:val="20"/>
                <w:lang w:eastAsia="ru-RU"/>
              </w:rPr>
              <w:t>Источник</w:t>
            </w:r>
          </w:p>
        </w:tc>
        <w:tc>
          <w:tcPr>
            <w:tcW w:w="4784" w:type="dxa"/>
            <w:tcBorders/>
            <w:shd w:color="auto" w:fill="auto" w:val="clear"/>
            <w:tcMar>
              <w:left w:w="93" w:type="dxa"/>
            </w:tcMar>
            <w:vAlign w:val="center"/>
          </w:tcPr>
          <w:p>
            <w:pPr>
              <w:pStyle w:val="Normal"/>
              <w:spacing w:lineRule="auto" w:line="240"/>
              <w:ind w:hanging="0"/>
              <w:jc w:val="center"/>
              <w:rPr>
                <w:rFonts w:cs="Arial"/>
                <w:sz w:val="20"/>
                <w:szCs w:val="20"/>
              </w:rPr>
            </w:pPr>
            <w:r>
              <w:rPr>
                <w:rFonts w:cs="Arial" w:ascii="Calibri" w:hAnsi="Calibri"/>
                <w:b/>
                <w:bCs/>
                <w:color w:val="000000"/>
                <w:sz w:val="20"/>
                <w:szCs w:val="20"/>
                <w:lang w:eastAsia="ru-RU"/>
              </w:rPr>
              <w:t>Радиус эффективного теплоснабжения, м</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№1</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750</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№2</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85</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№4</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36</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№5</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550</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№6</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320</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№7</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90</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ООО «Газпром энерго»</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410</w:t>
            </w:r>
          </w:p>
        </w:tc>
      </w:tr>
    </w:tbl>
    <w:p>
      <w:pPr>
        <w:pStyle w:val="Normal"/>
        <w:rPr>
          <w:rFonts w:cs="Arial"/>
          <w:szCs w:val="26"/>
        </w:rPr>
      </w:pPr>
      <w:r>
        <w:rPr>
          <w:rFonts w:cs="Arial"/>
          <w:szCs w:val="26"/>
        </w:rPr>
      </w:r>
    </w:p>
    <w:p>
      <w:pPr>
        <w:pStyle w:val="Normal"/>
        <w:rPr>
          <w:rFonts w:cs="Arial"/>
          <w:szCs w:val="26"/>
        </w:rPr>
      </w:pPr>
      <w:r>
        <w:rPr>
          <w:rFonts w:cs="Arial"/>
          <w:szCs w:val="26"/>
        </w:rPr>
      </w:r>
    </w:p>
    <w:p>
      <w:pPr>
        <w:pStyle w:val="Normal"/>
        <w:rPr>
          <w:rFonts w:cs="Arial"/>
          <w:szCs w:val="26"/>
        </w:rPr>
      </w:pPr>
      <w:r>
        <w:rPr>
          <w:rFonts w:cs="Arial"/>
          <w:szCs w:val="26"/>
        </w:rPr>
      </w:r>
    </w:p>
    <w:p>
      <w:pPr>
        <w:pStyle w:val="Normal"/>
        <w:rPr>
          <w:rFonts w:cs="Arial"/>
          <w:szCs w:val="26"/>
        </w:rPr>
      </w:pPr>
      <w:r>
        <w:rPr/>
        <w:drawing>
          <wp:inline distT="0" distB="0" distL="0" distR="0">
            <wp:extent cx="4409440" cy="4038600"/>
            <wp:effectExtent l="0" t="0" r="0" b="0"/>
            <wp:docPr id="4"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2" descr=""/>
                    <pic:cNvPicPr>
                      <a:picLocks noChangeAspect="1" noChangeArrowheads="1"/>
                    </pic:cNvPicPr>
                  </pic:nvPicPr>
                  <pic:blipFill>
                    <a:blip r:embed="rId7"/>
                    <a:stretch>
                      <a:fillRect/>
                    </a:stretch>
                  </pic:blipFill>
                  <pic:spPr bwMode="auto">
                    <a:xfrm>
                      <a:off x="0" y="0"/>
                      <a:ext cx="4409440" cy="4038600"/>
                    </a:xfrm>
                    <a:prstGeom prst="rect">
                      <a:avLst/>
                    </a:prstGeom>
                  </pic:spPr>
                </pic:pic>
              </a:graphicData>
            </a:graphic>
          </wp:inline>
        </w:drawing>
      </w:r>
    </w:p>
    <w:p>
      <w:pPr>
        <w:pStyle w:val="Normal"/>
        <w:suppressLineNumbers/>
        <w:suppressAutoHyphens w:val="true"/>
        <w:textAlignment w:val="baseline"/>
        <w:rPr/>
      </w:pPr>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1</w:t>
      </w:r>
      <w:r>
        <w:fldChar w:fldCharType="end"/>
      </w:r>
      <w:r>
        <w:rPr>
          <w:rFonts w:cs="Arial"/>
          <w:iCs/>
          <w:szCs w:val="26"/>
          <w:lang w:val="ru-RU" w:eastAsia="zh-CN"/>
        </w:rPr>
        <w:t xml:space="preserve"> – Радиус эффективного теплоснабжения котельной №4</w:t>
      </w:r>
    </w:p>
    <w:p>
      <w:pPr>
        <w:pStyle w:val="Normal"/>
        <w:suppressLineNumbers/>
        <w:suppressAutoHyphens w:val="true"/>
        <w:textAlignment w:val="baseline"/>
        <w:rPr>
          <w:rFonts w:cs="Arial"/>
          <w:iCs/>
          <w:szCs w:val="26"/>
          <w:lang w:val="ru-RU" w:eastAsia="zh-CN"/>
        </w:rPr>
      </w:pPr>
      <w:r>
        <w:rPr>
          <w:rFonts w:cs="Arial"/>
          <w:iCs/>
          <w:szCs w:val="26"/>
          <w:lang w:val="ru-RU" w:eastAsia="zh-CN"/>
        </w:rPr>
      </w:r>
    </w:p>
    <w:p>
      <w:pPr>
        <w:pStyle w:val="Normal"/>
        <w:jc w:val="left"/>
        <w:rPr>
          <w:rFonts w:cs="Arial"/>
          <w:szCs w:val="26"/>
          <w:lang w:val="ru-RU"/>
        </w:rPr>
      </w:pPr>
      <w:r>
        <w:rPr>
          <w:rFonts w:cs="Arial"/>
          <w:szCs w:val="26"/>
          <w:lang w:val="ru-RU"/>
        </w:rPr>
      </w:r>
    </w:p>
    <w:p>
      <w:pPr>
        <w:pStyle w:val="Normal"/>
        <w:ind w:hanging="0"/>
        <w:jc w:val="center"/>
        <w:rPr>
          <w:rFonts w:cs="Arial"/>
          <w:szCs w:val="26"/>
        </w:rPr>
      </w:pPr>
      <w:r>
        <w:rPr/>
        <w:drawing>
          <wp:inline distT="0" distB="0" distL="0" distR="0">
            <wp:extent cx="5451475" cy="3965575"/>
            <wp:effectExtent l="0" t="0" r="0" b="0"/>
            <wp:docPr id="5"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pic:cNvPicPr>
                      <a:picLocks noChangeAspect="1" noChangeArrowheads="1"/>
                    </pic:cNvPicPr>
                  </pic:nvPicPr>
                  <pic:blipFill>
                    <a:blip r:embed="rId8"/>
                    <a:stretch>
                      <a:fillRect/>
                    </a:stretch>
                  </pic:blipFill>
                  <pic:spPr bwMode="auto">
                    <a:xfrm>
                      <a:off x="0" y="0"/>
                      <a:ext cx="5451475" cy="3965575"/>
                    </a:xfrm>
                    <a:prstGeom prst="rect">
                      <a:avLst/>
                    </a:prstGeom>
                  </pic:spPr>
                </pic:pic>
              </a:graphicData>
            </a:graphic>
          </wp:inline>
        </w:drawing>
      </w:r>
    </w:p>
    <w:p>
      <w:pPr>
        <w:pStyle w:val="Normal"/>
        <w:suppressLineNumbers/>
        <w:suppressAutoHyphens w:val="true"/>
        <w:textAlignment w:val="baseline"/>
        <w:rPr/>
      </w:pPr>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2</w:t>
      </w:r>
      <w:r>
        <w:fldChar w:fldCharType="end"/>
      </w:r>
      <w:r>
        <w:rPr>
          <w:rFonts w:cs="Arial"/>
          <w:iCs/>
          <w:szCs w:val="26"/>
          <w:lang w:val="ru-RU" w:eastAsia="zh-CN"/>
        </w:rPr>
        <w:t xml:space="preserve"> – Радиус эффективного теплоснабжения котельной №2</w:t>
      </w:r>
    </w:p>
    <w:p>
      <w:pPr>
        <w:pStyle w:val="Normal"/>
        <w:ind w:hanging="0"/>
        <w:jc w:val="center"/>
        <w:rPr/>
      </w:pPr>
      <w:r>
        <w:rPr/>
        <w:drawing>
          <wp:inline distT="0" distB="0" distL="0" distR="0">
            <wp:extent cx="5509260" cy="4231640"/>
            <wp:effectExtent l="0" t="0" r="0" b="0"/>
            <wp:docPr id="6"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
                    <pic:cNvPicPr>
                      <a:picLocks noChangeAspect="1" noChangeArrowheads="1"/>
                    </pic:cNvPicPr>
                  </pic:nvPicPr>
                  <pic:blipFill>
                    <a:blip r:embed="rId9"/>
                    <a:stretch>
                      <a:fillRect/>
                    </a:stretch>
                  </pic:blipFill>
                  <pic:spPr bwMode="auto">
                    <a:xfrm>
                      <a:off x="0" y="0"/>
                      <a:ext cx="5509260" cy="4231640"/>
                    </a:xfrm>
                    <a:prstGeom prst="rect">
                      <a:avLst/>
                    </a:prstGeom>
                  </pic:spPr>
                </pic:pic>
              </a:graphicData>
            </a:graphic>
          </wp:inline>
        </w:drawing>
      </w:r>
      <w:r>
        <w:rPr>
          <w:rFonts w:cs="Arial"/>
          <w:szCs w:val="26"/>
          <w:lang w:val="ru-RU"/>
        </w:rPr>
        <w:t xml:space="preserve">Рисунок </w:t>
      </w:r>
      <w:r>
        <w:rPr>
          <w:rFonts w:cs="Arial"/>
          <w:szCs w:val="26"/>
          <w:lang w:val="ru-RU"/>
        </w:rPr>
        <w:fldChar w:fldCharType="begin"/>
      </w:r>
      <w:r>
        <w:instrText> SEQ Рисунок \* ARABIC </w:instrText>
      </w:r>
      <w:r>
        <w:fldChar w:fldCharType="separate"/>
      </w:r>
      <w:r>
        <w:t>3</w:t>
      </w:r>
      <w:r>
        <w:fldChar w:fldCharType="end"/>
      </w:r>
      <w:r>
        <w:rPr>
          <w:rFonts w:cs="Arial"/>
          <w:szCs w:val="26"/>
          <w:lang w:val="ru-RU"/>
        </w:rPr>
        <w:t xml:space="preserve"> – Радиус эффективного теплоснабжения котельной №7</w:t>
      </w:r>
      <w:r>
        <w:rPr>
          <w:rFonts w:cs="Arial"/>
          <w:szCs w:val="26"/>
          <w:lang w:val="ru-RU"/>
        </w:rPr>
        <w:drawing>
          <wp:inline distT="0" distB="0" distL="0" distR="0">
            <wp:extent cx="5538470" cy="4810125"/>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
                    <pic:cNvPicPr>
                      <a:picLocks noChangeAspect="1" noChangeArrowheads="1"/>
                    </pic:cNvPicPr>
                  </pic:nvPicPr>
                  <pic:blipFill>
                    <a:blip r:embed="rId10"/>
                    <a:stretch>
                      <a:fillRect/>
                    </a:stretch>
                  </pic:blipFill>
                  <pic:spPr bwMode="auto">
                    <a:xfrm>
                      <a:off x="0" y="0"/>
                      <a:ext cx="5538470" cy="4810125"/>
                    </a:xfrm>
                    <a:prstGeom prst="rect">
                      <a:avLst/>
                    </a:prstGeom>
                  </pic:spPr>
                </pic:pic>
              </a:graphicData>
            </a:graphic>
          </wp:inline>
        </w:drawing>
      </w:r>
      <w:r>
        <w:rPr>
          <w:rFonts w:cs="Arial"/>
          <w:szCs w:val="26"/>
          <w:lang w:val="ru-RU"/>
        </w:rPr>
        <w:t xml:space="preserve">Рисунок </w:t>
      </w:r>
      <w:r>
        <w:rPr>
          <w:rFonts w:cs="Arial"/>
          <w:szCs w:val="26"/>
          <w:lang w:val="ru-RU"/>
        </w:rPr>
        <w:fldChar w:fldCharType="begin"/>
      </w:r>
      <w:r>
        <w:instrText> SEQ Рисунок \* ARABIC </w:instrText>
      </w:r>
      <w:r>
        <w:fldChar w:fldCharType="separate"/>
      </w:r>
      <w:r>
        <w:t>4</w:t>
      </w:r>
      <w:r>
        <w:fldChar w:fldCharType="end"/>
      </w:r>
      <w:r>
        <w:rPr>
          <w:rFonts w:cs="Arial"/>
          <w:szCs w:val="26"/>
          <w:lang w:val="ru-RU"/>
        </w:rPr>
        <w:t xml:space="preserve"> – Радиус эффективного теплоснабжения котельной №5</w:t>
      </w:r>
    </w:p>
    <w:p>
      <w:pPr>
        <w:pStyle w:val="Normal"/>
        <w:numPr>
          <w:ilvl w:val="0"/>
          <w:numId w:val="0"/>
        </w:numPr>
        <w:ind w:hanging="0"/>
        <w:outlineLvl w:val="1"/>
        <w:rPr>
          <w:rFonts w:eastAsia="MS Mincho" w:cs="Arial"/>
          <w:b/>
          <w:b/>
          <w:szCs w:val="26"/>
          <w:lang w:val="ru-RU" w:eastAsia="ru-RU"/>
        </w:rPr>
      </w:pPr>
      <w:r>
        <w:rPr/>
        <w:drawing>
          <wp:inline distT="0" distB="0" distL="0" distR="0">
            <wp:extent cx="5939790" cy="5699125"/>
            <wp:effectExtent l="0" t="0" r="0" b="0"/>
            <wp:docPr id="8"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descr=""/>
                    <pic:cNvPicPr>
                      <a:picLocks noChangeAspect="1" noChangeArrowheads="1"/>
                    </pic:cNvPicPr>
                  </pic:nvPicPr>
                  <pic:blipFill>
                    <a:blip r:embed="rId11"/>
                    <a:stretch>
                      <a:fillRect/>
                    </a:stretch>
                  </pic:blipFill>
                  <pic:spPr bwMode="auto">
                    <a:xfrm>
                      <a:off x="0" y="0"/>
                      <a:ext cx="5939790" cy="5699125"/>
                    </a:xfrm>
                    <a:prstGeom prst="rect">
                      <a:avLst/>
                    </a:prstGeom>
                  </pic:spPr>
                </pic:pic>
              </a:graphicData>
            </a:graphic>
          </wp:inline>
        </w:drawing>
      </w:r>
    </w:p>
    <w:p>
      <w:pPr>
        <w:pStyle w:val="Normal"/>
        <w:suppressLineNumbers/>
        <w:suppressAutoHyphens w:val="true"/>
        <w:jc w:val="center"/>
        <w:textAlignment w:val="baseline"/>
        <w:rPr/>
      </w:pPr>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5</w:t>
      </w:r>
      <w:r>
        <w:fldChar w:fldCharType="end"/>
      </w:r>
      <w:r>
        <w:rPr>
          <w:rFonts w:cs="Arial"/>
          <w:iCs/>
          <w:szCs w:val="26"/>
          <w:lang w:val="ru-RU" w:eastAsia="zh-CN"/>
        </w:rPr>
        <w:t xml:space="preserve"> – Радиус эффективного теплоснабжения котельной ООО «Газпром энерго»</w:t>
      </w:r>
    </w:p>
    <w:p>
      <w:pPr>
        <w:pStyle w:val="Normal"/>
        <w:numPr>
          <w:ilvl w:val="1"/>
          <w:numId w:val="1"/>
        </w:numPr>
        <w:ind w:left="0" w:hanging="576"/>
        <w:jc w:val="center"/>
        <w:outlineLvl w:val="1"/>
        <w:rPr>
          <w:rFonts w:eastAsia="MS Mincho" w:cs="Arial"/>
          <w:b/>
          <w:b/>
          <w:szCs w:val="26"/>
          <w:lang w:val="ru-RU" w:eastAsia="ru-RU"/>
        </w:rPr>
      </w:pPr>
      <w:r>
        <w:rPr>
          <w:rFonts w:eastAsia="MS Mincho" w:cs="Arial"/>
          <w:b/>
          <w:szCs w:val="26"/>
          <w:lang w:val="ru-RU" w:eastAsia="ru-RU"/>
        </w:rPr>
      </w:r>
      <w:r>
        <w:br w:type="page"/>
      </w:r>
    </w:p>
    <w:p>
      <w:pPr>
        <w:pStyle w:val="Normal"/>
        <w:ind w:hanging="0"/>
        <w:rPr>
          <w:rFonts w:eastAsia="MS Mincho" w:cs="Arial"/>
          <w:szCs w:val="26"/>
        </w:rPr>
      </w:pPr>
      <w:r>
        <w:rPr/>
        <w:drawing>
          <wp:inline distT="0" distB="0" distL="0" distR="0">
            <wp:extent cx="5939790" cy="5711825"/>
            <wp:effectExtent l="0" t="0" r="0" b="0"/>
            <wp:docPr id="9"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6" descr=""/>
                    <pic:cNvPicPr>
                      <a:picLocks noChangeAspect="1" noChangeArrowheads="1"/>
                    </pic:cNvPicPr>
                  </pic:nvPicPr>
                  <pic:blipFill>
                    <a:blip r:embed="rId12"/>
                    <a:stretch>
                      <a:fillRect/>
                    </a:stretch>
                  </pic:blipFill>
                  <pic:spPr bwMode="auto">
                    <a:xfrm>
                      <a:off x="0" y="0"/>
                      <a:ext cx="5939790" cy="5711825"/>
                    </a:xfrm>
                    <a:prstGeom prst="rect">
                      <a:avLst/>
                    </a:prstGeom>
                  </pic:spPr>
                </pic:pic>
              </a:graphicData>
            </a:graphic>
          </wp:inline>
        </w:drawing>
      </w:r>
    </w:p>
    <w:p>
      <w:pPr>
        <w:pStyle w:val="Normal"/>
        <w:suppressLineNumbers/>
        <w:suppressAutoHyphens w:val="true"/>
        <w:jc w:val="center"/>
        <w:textAlignment w:val="baseline"/>
        <w:rPr/>
      </w:pPr>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6</w:t>
      </w:r>
      <w:r>
        <w:fldChar w:fldCharType="end"/>
      </w:r>
      <w:r>
        <w:rPr>
          <w:rFonts w:cs="Arial"/>
          <w:iCs/>
          <w:szCs w:val="26"/>
          <w:lang w:val="ru-RU" w:eastAsia="zh-CN"/>
        </w:rPr>
        <w:t xml:space="preserve"> – Радиус эффективного теплоснабжения котельной №1</w:t>
      </w:r>
    </w:p>
    <w:p>
      <w:pPr>
        <w:pStyle w:val="Normal"/>
        <w:numPr>
          <w:ilvl w:val="0"/>
          <w:numId w:val="0"/>
        </w:numPr>
        <w:ind w:hanging="0"/>
        <w:outlineLvl w:val="1"/>
        <w:rPr>
          <w:rFonts w:cs="Arial"/>
          <w:b/>
          <w:b/>
          <w:szCs w:val="26"/>
          <w:lang w:val="ru-RU" w:eastAsia="ru-RU"/>
        </w:rPr>
      </w:pPr>
      <w:r>
        <w:rPr/>
        <w:drawing>
          <wp:inline distT="0" distB="0" distL="0" distR="0">
            <wp:extent cx="5939790" cy="5837555"/>
            <wp:effectExtent l="0" t="0" r="0" b="0"/>
            <wp:docPr id="10"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3" descr=""/>
                    <pic:cNvPicPr>
                      <a:picLocks noChangeAspect="1" noChangeArrowheads="1"/>
                    </pic:cNvPicPr>
                  </pic:nvPicPr>
                  <pic:blipFill>
                    <a:blip r:embed="rId13"/>
                    <a:stretch>
                      <a:fillRect/>
                    </a:stretch>
                  </pic:blipFill>
                  <pic:spPr bwMode="auto">
                    <a:xfrm>
                      <a:off x="0" y="0"/>
                      <a:ext cx="5939790" cy="5837555"/>
                    </a:xfrm>
                    <a:prstGeom prst="rect">
                      <a:avLst/>
                    </a:prstGeom>
                  </pic:spPr>
                </pic:pic>
              </a:graphicData>
            </a:graphic>
          </wp:inline>
        </w:drawing>
      </w:r>
    </w:p>
    <w:p>
      <w:pPr>
        <w:pStyle w:val="Normal"/>
        <w:suppressLineNumbers/>
        <w:suppressAutoHyphens w:val="true"/>
        <w:jc w:val="center"/>
        <w:textAlignment w:val="baseline"/>
        <w:rPr/>
      </w:pPr>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7</w:t>
      </w:r>
      <w:r>
        <w:fldChar w:fldCharType="end"/>
      </w:r>
      <w:r>
        <w:rPr>
          <w:rFonts w:cs="Arial"/>
          <w:iCs/>
          <w:szCs w:val="26"/>
          <w:lang w:val="ru-RU" w:eastAsia="zh-CN"/>
        </w:rPr>
        <w:t>– Радиус эффективного теплоснабжения котельной №6</w:t>
      </w:r>
    </w:p>
    <w:p>
      <w:pPr>
        <w:pStyle w:val="Normal"/>
        <w:suppressLineNumbers/>
        <w:suppressAutoHyphens w:val="true"/>
        <w:jc w:val="center"/>
        <w:textAlignment w:val="baseline"/>
        <w:rPr>
          <w:rFonts w:cs="Arial"/>
          <w:iCs/>
          <w:szCs w:val="26"/>
          <w:lang w:val="ru-RU" w:eastAsia="zh-CN"/>
        </w:rPr>
      </w:pPr>
      <w:r>
        <w:rPr>
          <w:rFonts w:cs="Arial"/>
          <w:iCs/>
          <w:szCs w:val="26"/>
          <w:lang w:val="ru-RU" w:eastAsia="zh-CN"/>
        </w:rPr>
      </w:r>
    </w:p>
    <w:p>
      <w:pPr>
        <w:pStyle w:val="Normal"/>
        <w:suppressLineNumbers/>
        <w:suppressAutoHyphens w:val="true"/>
        <w:jc w:val="center"/>
        <w:textAlignment w:val="baseline"/>
        <w:rPr>
          <w:rFonts w:cs="Arial"/>
          <w:iCs/>
          <w:szCs w:val="26"/>
          <w:lang w:val="ru-RU" w:eastAsia="zh-CN"/>
        </w:rPr>
      </w:pPr>
      <w:r>
        <w:rPr>
          <w:rFonts w:cs="Arial"/>
          <w:iCs/>
          <w:szCs w:val="26"/>
          <w:lang w:val="ru-RU" w:eastAsia="zh-CN"/>
        </w:rPr>
      </w:r>
    </w:p>
    <w:p>
      <w:pPr>
        <w:pStyle w:val="Normal"/>
        <w:numPr>
          <w:ilvl w:val="1"/>
          <w:numId w:val="2"/>
        </w:numPr>
        <w:ind w:left="0" w:hanging="0"/>
        <w:jc w:val="center"/>
        <w:outlineLvl w:val="1"/>
        <w:rPr>
          <w:rFonts w:cs="Arial"/>
          <w:b/>
          <w:b/>
          <w:szCs w:val="26"/>
          <w:lang w:val="ru-RU" w:eastAsia="ru-RU"/>
        </w:rPr>
      </w:pPr>
      <w:bookmarkStart w:id="16" w:name="_Toc398022656"/>
      <w:bookmarkEnd w:id="16"/>
      <w:r>
        <w:rPr>
          <w:rFonts w:cs="Arial"/>
          <w:b/>
          <w:szCs w:val="26"/>
          <w:lang w:val="ru-RU" w:eastAsia="ru-RU"/>
        </w:rPr>
        <w:t>Описание существующих и перспективных зон действия систем теплоснабжения и источников тепловой энергии</w:t>
      </w:r>
    </w:p>
    <w:p>
      <w:pPr>
        <w:pStyle w:val="Normal"/>
        <w:rPr/>
      </w:pPr>
      <w:r>
        <w:rPr>
          <w:rFonts w:cs="Arial"/>
          <w:szCs w:val="26"/>
          <w:lang w:val="ru-RU"/>
        </w:rPr>
        <w:t xml:space="preserve">Существующие зоны действия источников тепловой энергии приведены на </w:t>
      </w:r>
      <w:r>
        <w:rPr>
          <w:rFonts w:cs="Arial"/>
          <w:szCs w:val="26"/>
          <w:lang w:val="ru-RU"/>
        </w:rPr>
        <w:fldChar w:fldCharType="begin"/>
      </w:r>
      <w:r>
        <w:instrText> REF _Ref392580560 \h </w:instrText>
      </w:r>
      <w:r>
        <w:fldChar w:fldCharType="separate"/>
      </w:r>
      <w:r>
        <w:t>Рисунок 8</w:t>
      </w:r>
      <w:r>
        <w:fldChar w:fldCharType="end"/>
      </w:r>
      <w:r>
        <w:rPr>
          <w:rFonts w:cs="Arial"/>
          <w:szCs w:val="26"/>
          <w:lang w:val="ru-RU"/>
        </w:rPr>
        <w:t xml:space="preserve"> - </w:t>
      </w:r>
      <w:r>
        <w:rPr>
          <w:rFonts w:cs="Arial"/>
          <w:szCs w:val="26"/>
          <w:lang w:val="ru-RU"/>
        </w:rPr>
        <w:fldChar w:fldCharType="begin"/>
      </w:r>
      <w:r>
        <w:instrText> REF _Ref397518319 \h </w:instrText>
      </w:r>
      <w:r>
        <w:fldChar w:fldCharType="separate"/>
      </w:r>
      <w:r>
        <w:t>Рисунок 12</w:t>
      </w:r>
      <w:r>
        <w:fldChar w:fldCharType="end"/>
      </w:r>
      <w:r>
        <w:rPr>
          <w:rFonts w:cs="Arial"/>
          <w:szCs w:val="26"/>
          <w:lang w:val="ru-RU"/>
        </w:rPr>
        <w:t>.</w:t>
      </w:r>
    </w:p>
    <w:p>
      <w:pPr>
        <w:pStyle w:val="Normal"/>
        <w:rPr>
          <w:rFonts w:cs="Arial"/>
          <w:szCs w:val="26"/>
          <w:lang w:val="ru-RU"/>
        </w:rPr>
      </w:pPr>
      <w:r>
        <w:rPr>
          <w:rFonts w:cs="Arial"/>
          <w:szCs w:val="26"/>
          <w:lang w:val="ru-RU"/>
        </w:rPr>
        <w:t>Изменение зон действия источников тепловой энергии запланировано: уменьшение зоны котельной №1 (центральная) – в последствии установки блочной газовой котельной 0,6 МВт для обеспечения нужд здания больницы.</w:t>
      </w:r>
    </w:p>
    <w:p>
      <w:pPr>
        <w:pStyle w:val="Normal"/>
        <w:rPr>
          <w:rFonts w:cs="Arial"/>
          <w:szCs w:val="26"/>
          <w:lang w:val="ru-RU"/>
        </w:rPr>
      </w:pPr>
      <w:r>
        <w:rPr>
          <w:rFonts w:cs="Arial"/>
          <w:szCs w:val="26"/>
          <w:lang w:val="ru-RU"/>
        </w:rPr>
      </w:r>
    </w:p>
    <w:p>
      <w:pPr>
        <w:pStyle w:val="Normal"/>
        <w:ind w:hanging="0"/>
        <w:rPr>
          <w:rFonts w:cs="Arial"/>
          <w:szCs w:val="26"/>
        </w:rPr>
      </w:pPr>
      <w:r>
        <w:rPr/>
        <w:drawing>
          <wp:inline distT="0" distB="0" distL="0" distR="0">
            <wp:extent cx="5939790" cy="3999230"/>
            <wp:effectExtent l="0" t="0" r="0" b="0"/>
            <wp:docPr id="11"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4" descr=""/>
                    <pic:cNvPicPr>
                      <a:picLocks noChangeAspect="1" noChangeArrowheads="1"/>
                    </pic:cNvPicPr>
                  </pic:nvPicPr>
                  <pic:blipFill>
                    <a:blip r:embed="rId14"/>
                    <a:stretch>
                      <a:fillRect/>
                    </a:stretch>
                  </pic:blipFill>
                  <pic:spPr bwMode="auto">
                    <a:xfrm>
                      <a:off x="0" y="0"/>
                      <a:ext cx="5939790" cy="3999230"/>
                    </a:xfrm>
                    <a:prstGeom prst="rect">
                      <a:avLst/>
                    </a:prstGeom>
                  </pic:spPr>
                </pic:pic>
              </a:graphicData>
            </a:graphic>
          </wp:inline>
        </w:drawing>
      </w:r>
    </w:p>
    <w:p>
      <w:pPr>
        <w:pStyle w:val="Normal"/>
        <w:suppressLineNumbers/>
        <w:suppressAutoHyphens w:val="true"/>
        <w:jc w:val="center"/>
        <w:textAlignment w:val="baseline"/>
        <w:rPr/>
      </w:pPr>
      <w:bookmarkStart w:id="17" w:name="_Ref392580560"/>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8</w:t>
      </w:r>
      <w:r>
        <w:fldChar w:fldCharType="end"/>
      </w:r>
      <w:bookmarkEnd w:id="17"/>
      <w:r>
        <w:rPr>
          <w:rFonts w:cs="Arial"/>
          <w:iCs/>
          <w:szCs w:val="26"/>
          <w:lang w:val="ru-RU" w:eastAsia="zh-CN"/>
        </w:rPr>
        <w:t xml:space="preserve"> – Зона действия котельной №1 (Центральная)</w:t>
      </w:r>
    </w:p>
    <w:p>
      <w:pPr>
        <w:pStyle w:val="Normal"/>
        <w:rPr>
          <w:rFonts w:cs="Arial"/>
          <w:szCs w:val="26"/>
          <w:lang w:val="ru-RU"/>
        </w:rPr>
      </w:pPr>
      <w:r>
        <w:rPr>
          <w:rFonts w:cs="Arial"/>
          <w:szCs w:val="26"/>
          <w:lang w:val="ru-RU"/>
        </w:rPr>
      </w:r>
    </w:p>
    <w:p>
      <w:pPr>
        <w:pStyle w:val="Normal"/>
        <w:ind w:hanging="0"/>
        <w:jc w:val="left"/>
        <w:rPr>
          <w:rFonts w:cs="Arial"/>
          <w:szCs w:val="26"/>
          <w:lang w:val="ru-RU"/>
        </w:rPr>
      </w:pPr>
      <w:r>
        <w:rPr>
          <w:rFonts w:cs="Arial"/>
          <w:szCs w:val="26"/>
          <w:lang w:val="ru-RU"/>
        </w:rPr>
      </w:r>
    </w:p>
    <w:p>
      <w:pPr>
        <w:pStyle w:val="Normal"/>
        <w:rPr>
          <w:rFonts w:cs="Arial"/>
          <w:szCs w:val="26"/>
          <w:highlight w:val="cyan"/>
        </w:rPr>
      </w:pPr>
      <w:r>
        <w:rPr/>
        <w:drawing>
          <wp:inline distT="0" distB="0" distL="0" distR="0">
            <wp:extent cx="5433060" cy="3796030"/>
            <wp:effectExtent l="0" t="0" r="0" b="0"/>
            <wp:docPr id="12"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5" descr=""/>
                    <pic:cNvPicPr>
                      <a:picLocks noChangeAspect="1" noChangeArrowheads="1"/>
                    </pic:cNvPicPr>
                  </pic:nvPicPr>
                  <pic:blipFill>
                    <a:blip r:embed="rId15"/>
                    <a:stretch>
                      <a:fillRect/>
                    </a:stretch>
                  </pic:blipFill>
                  <pic:spPr bwMode="auto">
                    <a:xfrm>
                      <a:off x="0" y="0"/>
                      <a:ext cx="5433060" cy="3796030"/>
                    </a:xfrm>
                    <a:prstGeom prst="rect">
                      <a:avLst/>
                    </a:prstGeom>
                  </pic:spPr>
                </pic:pic>
              </a:graphicData>
            </a:graphic>
          </wp:inline>
        </w:drawing>
      </w:r>
    </w:p>
    <w:p>
      <w:pPr>
        <w:pStyle w:val="Normal"/>
        <w:suppressLineNumbers/>
        <w:suppressAutoHyphens w:val="true"/>
        <w:textAlignment w:val="baseline"/>
        <w:rPr>
          <w:rFonts w:cs="Arial"/>
          <w:iCs/>
          <w:szCs w:val="26"/>
          <w:lang w:val="ru-RU" w:eastAsia="zh-CN"/>
        </w:rPr>
      </w:pPr>
      <w:bookmarkStart w:id="18" w:name="_Ref392580966"/>
      <w:bookmarkStart w:id="19" w:name="_Ref392580966"/>
      <w:r>
        <w:rPr>
          <w:rFonts w:cs="Arial"/>
          <w:iCs/>
          <w:szCs w:val="26"/>
          <w:lang w:val="ru-RU" w:eastAsia="zh-CN"/>
        </w:rPr>
      </w:r>
    </w:p>
    <w:p>
      <w:pPr>
        <w:pStyle w:val="Normal"/>
        <w:suppressLineNumbers/>
        <w:suppressAutoHyphens w:val="true"/>
        <w:jc w:val="center"/>
        <w:textAlignment w:val="baseline"/>
        <w:rPr/>
      </w:pPr>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9</w:t>
      </w:r>
      <w:r>
        <w:fldChar w:fldCharType="end"/>
      </w:r>
      <w:bookmarkEnd w:id="19"/>
      <w:r>
        <w:rPr>
          <w:rFonts w:cs="Arial"/>
          <w:iCs/>
          <w:szCs w:val="26"/>
          <w:lang w:val="ru-RU" w:eastAsia="zh-CN"/>
        </w:rPr>
        <w:t xml:space="preserve"> – Зона действия котельной №2</w:t>
      </w:r>
    </w:p>
    <w:p>
      <w:pPr>
        <w:pStyle w:val="Normal"/>
        <w:rPr>
          <w:rFonts w:cs="Arial"/>
          <w:szCs w:val="26"/>
        </w:rPr>
      </w:pPr>
      <w:r>
        <w:rPr>
          <w:rFonts w:cs="Arial"/>
          <w:szCs w:val="26"/>
        </w:rPr>
      </w:r>
    </w:p>
    <w:p>
      <w:pPr>
        <w:pStyle w:val="Normal"/>
        <w:ind w:hanging="0"/>
        <w:rPr>
          <w:rFonts w:cs="Arial"/>
          <w:szCs w:val="26"/>
        </w:rPr>
      </w:pPr>
      <w:r>
        <w:rPr/>
        <w:drawing>
          <wp:inline distT="0" distB="0" distL="0" distR="0">
            <wp:extent cx="5794375" cy="4629150"/>
            <wp:effectExtent l="0" t="0" r="0" b="0"/>
            <wp:docPr id="13"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6" descr=""/>
                    <pic:cNvPicPr>
                      <a:picLocks noChangeAspect="1" noChangeArrowheads="1"/>
                    </pic:cNvPicPr>
                  </pic:nvPicPr>
                  <pic:blipFill>
                    <a:blip r:embed="rId16"/>
                    <a:stretch>
                      <a:fillRect/>
                    </a:stretch>
                  </pic:blipFill>
                  <pic:spPr bwMode="auto">
                    <a:xfrm>
                      <a:off x="0" y="0"/>
                      <a:ext cx="5794375" cy="4629150"/>
                    </a:xfrm>
                    <a:prstGeom prst="rect">
                      <a:avLst/>
                    </a:prstGeom>
                  </pic:spPr>
                </pic:pic>
              </a:graphicData>
            </a:graphic>
          </wp:inline>
        </w:drawing>
      </w:r>
    </w:p>
    <w:p>
      <w:pPr>
        <w:pStyle w:val="Normal"/>
        <w:suppressLineNumbers/>
        <w:suppressAutoHyphens w:val="true"/>
        <w:jc w:val="center"/>
        <w:textAlignment w:val="baseline"/>
        <w:rPr/>
      </w:pPr>
      <w:bookmarkStart w:id="20" w:name="_Ref392581501"/>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10</w:t>
      </w:r>
      <w:r>
        <w:fldChar w:fldCharType="end"/>
      </w:r>
      <w:bookmarkEnd w:id="20"/>
      <w:r>
        <w:rPr>
          <w:rFonts w:cs="Arial"/>
          <w:iCs/>
          <w:szCs w:val="26"/>
          <w:lang w:val="ru-RU" w:eastAsia="zh-CN"/>
        </w:rPr>
        <w:t xml:space="preserve"> – Зона действия котельной №5</w:t>
      </w:r>
    </w:p>
    <w:p>
      <w:pPr>
        <w:pStyle w:val="Normal"/>
        <w:rPr>
          <w:rFonts w:cs="Arial"/>
          <w:szCs w:val="26"/>
        </w:rPr>
      </w:pPr>
      <w:r>
        <w:rPr>
          <w:rFonts w:cs="Arial"/>
          <w:szCs w:val="26"/>
        </w:rPr>
      </w:r>
    </w:p>
    <w:p>
      <w:pPr>
        <w:pStyle w:val="Normal"/>
        <w:ind w:hanging="0"/>
        <w:jc w:val="center"/>
        <w:rPr>
          <w:rFonts w:cs="Arial"/>
          <w:szCs w:val="26"/>
        </w:rPr>
      </w:pPr>
      <w:r>
        <w:rPr/>
        <w:drawing>
          <wp:inline distT="0" distB="0" distL="0" distR="0">
            <wp:extent cx="4495800" cy="3176905"/>
            <wp:effectExtent l="0" t="0" r="0" b="0"/>
            <wp:docPr id="14"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
                    <pic:cNvPicPr>
                      <a:picLocks noChangeAspect="1" noChangeArrowheads="1"/>
                    </pic:cNvPicPr>
                  </pic:nvPicPr>
                  <pic:blipFill>
                    <a:blip r:embed="rId17"/>
                    <a:stretch>
                      <a:fillRect/>
                    </a:stretch>
                  </pic:blipFill>
                  <pic:spPr bwMode="auto">
                    <a:xfrm>
                      <a:off x="0" y="0"/>
                      <a:ext cx="4495800" cy="3176905"/>
                    </a:xfrm>
                    <a:prstGeom prst="rect">
                      <a:avLst/>
                    </a:prstGeom>
                  </pic:spPr>
                </pic:pic>
              </a:graphicData>
            </a:graphic>
          </wp:inline>
        </w:drawing>
      </w:r>
    </w:p>
    <w:p>
      <w:pPr>
        <w:pStyle w:val="Normal"/>
        <w:suppressLineNumbers/>
        <w:suppressAutoHyphens w:val="true"/>
        <w:jc w:val="center"/>
        <w:textAlignment w:val="baseline"/>
        <w:rPr/>
      </w:pPr>
      <w:bookmarkStart w:id="21" w:name="_Ref392676702"/>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11</w:t>
      </w:r>
      <w:r>
        <w:fldChar w:fldCharType="end"/>
      </w:r>
      <w:bookmarkEnd w:id="21"/>
      <w:r>
        <w:rPr>
          <w:rFonts w:cs="Arial"/>
          <w:iCs/>
          <w:szCs w:val="26"/>
          <w:lang w:val="ru-RU" w:eastAsia="zh-CN"/>
        </w:rPr>
        <w:t xml:space="preserve"> –Зона действия котельной №7</w:t>
      </w:r>
    </w:p>
    <w:p>
      <w:pPr>
        <w:pStyle w:val="Normal"/>
        <w:rPr>
          <w:rFonts w:cs="Arial"/>
          <w:szCs w:val="26"/>
        </w:rPr>
      </w:pPr>
      <w:r>
        <w:rPr>
          <w:rFonts w:cs="Arial"/>
          <w:szCs w:val="26"/>
        </w:rPr>
      </w:r>
    </w:p>
    <w:p>
      <w:pPr>
        <w:pStyle w:val="Normal"/>
        <w:ind w:hanging="0"/>
        <w:jc w:val="center"/>
        <w:rPr>
          <w:rFonts w:cs="Arial"/>
          <w:szCs w:val="26"/>
        </w:rPr>
      </w:pPr>
      <w:r>
        <w:rPr/>
        <w:drawing>
          <wp:inline distT="0" distB="0" distL="0" distR="0">
            <wp:extent cx="4752975" cy="4295775"/>
            <wp:effectExtent l="0" t="0" r="0" b="0"/>
            <wp:docPr id="15"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7" descr=""/>
                    <pic:cNvPicPr>
                      <a:picLocks noChangeAspect="1" noChangeArrowheads="1"/>
                    </pic:cNvPicPr>
                  </pic:nvPicPr>
                  <pic:blipFill>
                    <a:blip r:embed="rId18"/>
                    <a:stretch>
                      <a:fillRect/>
                    </a:stretch>
                  </pic:blipFill>
                  <pic:spPr bwMode="auto">
                    <a:xfrm>
                      <a:off x="0" y="0"/>
                      <a:ext cx="4752975" cy="4295775"/>
                    </a:xfrm>
                    <a:prstGeom prst="rect">
                      <a:avLst/>
                    </a:prstGeom>
                  </pic:spPr>
                </pic:pic>
              </a:graphicData>
            </a:graphic>
          </wp:inline>
        </w:drawing>
      </w:r>
    </w:p>
    <w:p>
      <w:pPr>
        <w:pStyle w:val="Normal"/>
        <w:suppressLineNumbers/>
        <w:suppressAutoHyphens w:val="true"/>
        <w:jc w:val="center"/>
        <w:textAlignment w:val="baseline"/>
        <w:rPr/>
      </w:pPr>
      <w:bookmarkStart w:id="22" w:name="_Ref397518319"/>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12</w:t>
      </w:r>
      <w:r>
        <w:fldChar w:fldCharType="end"/>
      </w:r>
      <w:bookmarkEnd w:id="22"/>
      <w:r>
        <w:rPr>
          <w:rFonts w:cs="Arial"/>
          <w:iCs/>
          <w:szCs w:val="26"/>
          <w:lang w:val="ru-RU" w:eastAsia="zh-CN"/>
        </w:rPr>
        <w:t xml:space="preserve"> – Зона действия котельной ООО «Газпром энерго»</w:t>
      </w:r>
    </w:p>
    <w:p>
      <w:pPr>
        <w:pStyle w:val="Normal"/>
        <w:ind w:hanging="0"/>
        <w:jc w:val="left"/>
        <w:rPr>
          <w:rFonts w:cs="Arial"/>
          <w:szCs w:val="26"/>
          <w:lang w:val="ru-RU"/>
        </w:rPr>
      </w:pPr>
      <w:r>
        <w:rPr>
          <w:rFonts w:cs="Arial"/>
          <w:szCs w:val="26"/>
          <w:lang w:val="ru-RU"/>
        </w:rPr>
      </w:r>
    </w:p>
    <w:p>
      <w:pPr>
        <w:pStyle w:val="Normal"/>
        <w:numPr>
          <w:ilvl w:val="1"/>
          <w:numId w:val="1"/>
        </w:numPr>
        <w:ind w:left="0" w:hanging="0"/>
        <w:jc w:val="center"/>
        <w:outlineLvl w:val="1"/>
        <w:rPr>
          <w:rFonts w:cs="Arial"/>
          <w:b/>
          <w:b/>
          <w:szCs w:val="26"/>
          <w:lang w:val="ru-RU" w:eastAsia="ru-RU"/>
        </w:rPr>
      </w:pPr>
      <w:bookmarkStart w:id="23" w:name="_Toc398022657"/>
      <w:bookmarkEnd w:id="23"/>
      <w:r>
        <w:rPr>
          <w:rFonts w:cs="Arial"/>
          <w:b/>
          <w:szCs w:val="26"/>
          <w:lang w:val="ru-RU" w:eastAsia="ru-RU"/>
        </w:rPr>
        <w:t>Описание существующих и перспективных зон действия индивидуальных источников тепловой энергии</w:t>
      </w:r>
    </w:p>
    <w:p>
      <w:pPr>
        <w:pStyle w:val="Normal"/>
        <w:rPr/>
      </w:pPr>
      <w:r>
        <w:rPr>
          <w:rFonts w:cs="Arial"/>
          <w:szCs w:val="26"/>
          <w:lang w:val="ru-RU"/>
        </w:rPr>
        <w:t xml:space="preserve">Существующие зоны действия индивидуальных источников тепловой энергии представлены на </w:t>
      </w:r>
      <w:r>
        <w:rPr>
          <w:rFonts w:cs="Arial"/>
          <w:szCs w:val="26"/>
          <w:lang w:val="ru-RU"/>
        </w:rPr>
        <w:fldChar w:fldCharType="begin"/>
      </w:r>
      <w:r>
        <w:instrText> REF _Ref397343634 \h </w:instrText>
      </w:r>
      <w:r>
        <w:fldChar w:fldCharType="separate"/>
      </w:r>
      <w:r>
        <w:t>Рисунок 13</w:t>
      </w:r>
      <w:r>
        <w:fldChar w:fldCharType="end"/>
      </w:r>
      <w:r>
        <w:rPr>
          <w:rFonts w:cs="Arial"/>
          <w:szCs w:val="26"/>
          <w:lang w:val="ru-RU"/>
        </w:rPr>
        <w:t>.</w:t>
      </w:r>
    </w:p>
    <w:p>
      <w:pPr>
        <w:pStyle w:val="Normal"/>
        <w:ind w:hanging="0"/>
        <w:jc w:val="center"/>
        <w:rPr/>
      </w:pPr>
      <w:r>
        <w:rPr/>
        <w:drawing>
          <wp:inline distT="0" distB="0" distL="0" distR="0">
            <wp:extent cx="5943600" cy="3857625"/>
            <wp:effectExtent l="0" t="0" r="0" b="0"/>
            <wp:docPr id="16"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8" descr=""/>
                    <pic:cNvPicPr>
                      <a:picLocks noChangeAspect="1" noChangeArrowheads="1"/>
                    </pic:cNvPicPr>
                  </pic:nvPicPr>
                  <pic:blipFill>
                    <a:blip r:embed="rId19"/>
                    <a:stretch>
                      <a:fillRect/>
                    </a:stretch>
                  </pic:blipFill>
                  <pic:spPr bwMode="auto">
                    <a:xfrm>
                      <a:off x="0" y="0"/>
                      <a:ext cx="5943600" cy="3857625"/>
                    </a:xfrm>
                    <a:prstGeom prst="rect">
                      <a:avLst/>
                    </a:prstGeom>
                  </pic:spPr>
                </pic:pic>
              </a:graphicData>
            </a:graphic>
          </wp:inline>
        </w:drawing>
      </w:r>
      <w:bookmarkStart w:id="24" w:name="_Ref397343634"/>
      <w:r>
        <w:rPr>
          <w:rFonts w:cs="Arial"/>
          <w:szCs w:val="26"/>
          <w:lang w:val="ru-RU"/>
        </w:rPr>
        <w:t xml:space="preserve">Рисунок </w:t>
      </w:r>
      <w:r>
        <w:rPr>
          <w:rFonts w:cs="Arial"/>
          <w:szCs w:val="26"/>
          <w:lang w:val="ru-RU"/>
        </w:rPr>
        <w:fldChar w:fldCharType="begin"/>
      </w:r>
      <w:r>
        <w:instrText> SEQ Рисунок \* ARABIC </w:instrText>
      </w:r>
      <w:r>
        <w:fldChar w:fldCharType="separate"/>
      </w:r>
      <w:r>
        <w:t>13</w:t>
      </w:r>
      <w:r>
        <w:fldChar w:fldCharType="end"/>
      </w:r>
      <w:bookmarkEnd w:id="24"/>
      <w:r>
        <w:rPr>
          <w:rFonts w:cs="Arial"/>
          <w:szCs w:val="26"/>
          <w:lang w:val="ru-RU"/>
        </w:rPr>
        <w:t xml:space="preserve"> – Существующие зоны действия индивидуальных источников тепловой энергии (выделены зеленым цветом)</w:t>
      </w:r>
    </w:p>
    <w:p>
      <w:pPr>
        <w:pStyle w:val="Normal"/>
        <w:rPr>
          <w:rFonts w:cs="Arial"/>
          <w:szCs w:val="26"/>
          <w:lang w:val="ru-RU"/>
        </w:rPr>
      </w:pPr>
      <w:r>
        <w:rPr>
          <w:rFonts w:cs="Arial"/>
          <w:szCs w:val="26"/>
          <w:lang w:val="ru-RU"/>
        </w:rPr>
      </w:r>
    </w:p>
    <w:p>
      <w:pPr>
        <w:pStyle w:val="Normal"/>
        <w:suppressLineNumbers/>
        <w:suppressAutoHyphens w:val="true"/>
        <w:textAlignment w:val="baseline"/>
        <w:rPr/>
      </w:pPr>
      <w:r>
        <w:rPr>
          <w:rFonts w:cs="Arial"/>
          <w:iCs/>
          <w:szCs w:val="26"/>
          <w:lang w:val="ru-RU" w:eastAsia="zh-CN"/>
        </w:rPr>
        <w:t xml:space="preserve">Перспективные зоны действия индивидуальных источников тепловой энергии представлены на </w:t>
      </w:r>
      <w:r>
        <w:rPr>
          <w:rFonts w:cs="Arial"/>
          <w:iCs/>
          <w:szCs w:val="26"/>
          <w:lang w:val="ru-RU" w:eastAsia="zh-CN"/>
        </w:rPr>
        <w:fldChar w:fldCharType="begin"/>
      </w:r>
      <w:r>
        <w:instrText> REF _Ref397343942 \h </w:instrText>
      </w:r>
      <w:r>
        <w:fldChar w:fldCharType="separate"/>
      </w:r>
      <w:r>
        <w:t>Рисунок 14</w:t>
      </w:r>
      <w:r>
        <w:fldChar w:fldCharType="end"/>
      </w:r>
      <w:r>
        <w:rPr>
          <w:rFonts w:cs="Arial"/>
          <w:iCs/>
          <w:szCs w:val="26"/>
          <w:lang w:val="ru-RU" w:eastAsia="zh-CN"/>
        </w:rPr>
        <w:t>.</w:t>
      </w:r>
    </w:p>
    <w:p>
      <w:pPr>
        <w:pStyle w:val="Normal"/>
        <w:suppressLineNumbers/>
        <w:suppressAutoHyphens w:val="true"/>
        <w:textAlignment w:val="baseline"/>
        <w:rPr>
          <w:rFonts w:cs="Arial"/>
          <w:iCs/>
          <w:szCs w:val="26"/>
          <w:lang w:val="ru-RU" w:eastAsia="zh-CN"/>
        </w:rPr>
      </w:pPr>
      <w:r>
        <w:rPr>
          <w:rFonts w:cs="Arial"/>
          <w:iCs/>
          <w:szCs w:val="26"/>
          <w:lang w:val="ru-RU" w:eastAsia="zh-CN"/>
        </w:rPr>
      </w:r>
    </w:p>
    <w:p>
      <w:pPr>
        <w:pStyle w:val="Normal"/>
        <w:ind w:hanging="0"/>
        <w:rPr>
          <w:rFonts w:cs="Arial"/>
          <w:szCs w:val="26"/>
        </w:rPr>
      </w:pPr>
      <w:r>
        <w:rPr/>
        <w:drawing>
          <wp:inline distT="0" distB="0" distL="0" distR="0">
            <wp:extent cx="5934075" cy="3600450"/>
            <wp:effectExtent l="0" t="0" r="0" b="0"/>
            <wp:docPr id="17" name="Рисунок 6" descr="Туртас персп - газ 2017-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6" descr="Туртас персп - газ 2017-Layout1"/>
                    <pic:cNvPicPr>
                      <a:picLocks noChangeAspect="1" noChangeArrowheads="1"/>
                    </pic:cNvPicPr>
                  </pic:nvPicPr>
                  <pic:blipFill>
                    <a:blip r:embed="rId20"/>
                    <a:stretch>
                      <a:fillRect/>
                    </a:stretch>
                  </pic:blipFill>
                  <pic:spPr bwMode="auto">
                    <a:xfrm>
                      <a:off x="0" y="0"/>
                      <a:ext cx="5934075" cy="3600450"/>
                    </a:xfrm>
                    <a:prstGeom prst="rect">
                      <a:avLst/>
                    </a:prstGeom>
                  </pic:spPr>
                </pic:pic>
              </a:graphicData>
            </a:graphic>
          </wp:inline>
        </w:drawing>
      </w:r>
    </w:p>
    <w:p>
      <w:pPr>
        <w:pStyle w:val="Normal"/>
        <w:rPr>
          <w:rFonts w:cs="Arial"/>
          <w:szCs w:val="26"/>
        </w:rPr>
      </w:pPr>
      <w:r>
        <w:rPr/>
        <w:drawing>
          <wp:inline distT="0" distB="0" distL="0" distR="0">
            <wp:extent cx="4720590" cy="1073785"/>
            <wp:effectExtent l="0" t="0" r="0" b="0"/>
            <wp:docPr id="1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9" descr=""/>
                    <pic:cNvPicPr>
                      <a:picLocks noChangeAspect="1" noChangeArrowheads="1"/>
                    </pic:cNvPicPr>
                  </pic:nvPicPr>
                  <pic:blipFill>
                    <a:blip r:embed="rId21"/>
                    <a:stretch>
                      <a:fillRect/>
                    </a:stretch>
                  </pic:blipFill>
                  <pic:spPr bwMode="auto">
                    <a:xfrm>
                      <a:off x="0" y="0"/>
                      <a:ext cx="4720590" cy="1073785"/>
                    </a:xfrm>
                    <a:prstGeom prst="rect">
                      <a:avLst/>
                    </a:prstGeom>
                  </pic:spPr>
                </pic:pic>
              </a:graphicData>
            </a:graphic>
          </wp:inline>
        </w:drawing>
      </w:r>
    </w:p>
    <w:p>
      <w:pPr>
        <w:pStyle w:val="Normal"/>
        <w:suppressLineNumbers/>
        <w:suppressAutoHyphens w:val="true"/>
        <w:jc w:val="center"/>
        <w:textAlignment w:val="baseline"/>
        <w:rPr/>
      </w:pPr>
      <w:bookmarkStart w:id="25" w:name="_Ref397343942"/>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14</w:t>
      </w:r>
      <w:r>
        <w:fldChar w:fldCharType="end"/>
      </w:r>
      <w:bookmarkEnd w:id="25"/>
      <w:r>
        <w:rPr>
          <w:rFonts w:cs="Arial"/>
          <w:iCs/>
          <w:szCs w:val="26"/>
          <w:lang w:val="ru-RU" w:eastAsia="zh-CN"/>
        </w:rPr>
        <w:t xml:space="preserve"> – Перспективные зоны действия индивидуальных источников тепловой энергии</w:t>
      </w:r>
    </w:p>
    <w:p>
      <w:pPr>
        <w:pStyle w:val="Normal"/>
        <w:ind w:hanging="0"/>
        <w:jc w:val="left"/>
        <w:rPr>
          <w:rFonts w:cs="Arial"/>
          <w:szCs w:val="26"/>
          <w:lang w:val="ru-RU"/>
        </w:rPr>
      </w:pPr>
      <w:r>
        <w:rPr>
          <w:rFonts w:cs="Arial"/>
          <w:szCs w:val="26"/>
          <w:lang w:val="ru-RU"/>
        </w:rPr>
      </w:r>
    </w:p>
    <w:p>
      <w:pPr>
        <w:pStyle w:val="Normal"/>
        <w:numPr>
          <w:ilvl w:val="1"/>
          <w:numId w:val="1"/>
        </w:numPr>
        <w:ind w:left="0" w:hanging="0"/>
        <w:jc w:val="center"/>
        <w:outlineLvl w:val="1"/>
        <w:rPr>
          <w:rFonts w:cs="Arial"/>
          <w:b/>
          <w:b/>
          <w:szCs w:val="26"/>
          <w:lang w:val="ru-RU" w:eastAsia="ru-RU"/>
        </w:rPr>
      </w:pPr>
      <w:bookmarkStart w:id="26" w:name="_Toc398022658"/>
      <w:bookmarkEnd w:id="26"/>
      <w:r>
        <w:rPr>
          <w:rFonts w:cs="Arial"/>
          <w:b/>
          <w:szCs w:val="26"/>
          <w:lang w:val="ru-RU" w:eastAsia="ru-RU"/>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pPr>
        <w:pStyle w:val="Normal"/>
        <w:rPr>
          <w:rFonts w:cs="Arial"/>
          <w:szCs w:val="26"/>
          <w:lang w:val="ru-RU"/>
        </w:rPr>
      </w:pPr>
      <w:r>
        <w:rPr>
          <w:rFonts w:cs="Arial"/>
          <w:szCs w:val="26"/>
          <w:lang w:val="ru-RU"/>
        </w:rPr>
        <w:t>Исходя из данных генерального плана развития п. Туртас увеличение тепловой нагрузки предполагается только на центральную котельную №1 (ул. Октябрьская), до 10 Гкал/ч на расчетный срок.</w:t>
      </w:r>
    </w:p>
    <w:p>
      <w:pPr>
        <w:sectPr>
          <w:footerReference w:type="default" r:id="rId22"/>
          <w:type w:val="nextPage"/>
          <w:pgSz w:w="11906" w:h="16838"/>
          <w:pgMar w:left="1701" w:right="851" w:header="0" w:top="284" w:footer="709" w:bottom="766" w:gutter="0"/>
          <w:pgNumType w:fmt="decimal"/>
          <w:formProt w:val="false"/>
          <w:textDirection w:val="lrTb"/>
          <w:docGrid w:type="default" w:linePitch="360" w:charSpace="4294957055"/>
        </w:sectPr>
        <w:pStyle w:val="Normal"/>
        <w:rPr/>
      </w:pPr>
      <w:r>
        <w:rPr>
          <w:rFonts w:cs="Arial"/>
          <w:szCs w:val="26"/>
          <w:lang w:val="ru-RU"/>
        </w:rPr>
        <w:t xml:space="preserve">Перспективные балансы тепловой мощности источников тепловой энергии и тепловой нагрузки приведены </w:t>
      </w:r>
      <w:r>
        <w:rPr>
          <w:rFonts w:cs="Arial"/>
          <w:szCs w:val="26"/>
          <w:lang w:val="ru-RU"/>
        </w:rPr>
        <w:t xml:space="preserve">в </w:t>
      </w:r>
      <w:r>
        <w:rPr>
          <w:rFonts w:cs="Arial"/>
          <w:szCs w:val="26"/>
          <w:lang w:val="ru-RU"/>
        </w:rPr>
        <w:fldChar w:fldCharType="begin"/>
      </w:r>
      <w:r>
        <w:instrText> REF _Ref392596545 \h </w:instrText>
      </w:r>
      <w:r>
        <w:fldChar w:fldCharType="separate"/>
      </w:r>
      <w:r>
        <w:t>Таблица 8</w:t>
      </w:r>
      <w:r>
        <w:fldChar w:fldCharType="end"/>
      </w:r>
      <w:r>
        <w:rPr>
          <w:rFonts w:cs="Arial"/>
          <w:szCs w:val="26"/>
          <w:lang w:val="ru-RU"/>
        </w:rPr>
        <w:t>.</w:t>
      </w:r>
    </w:p>
    <w:p>
      <w:pPr>
        <w:pStyle w:val="Normal"/>
        <w:suppressLineNumbers/>
        <w:suppressAutoHyphens w:val="true"/>
        <w:jc w:val="right"/>
        <w:textAlignment w:val="baseline"/>
        <w:rPr/>
      </w:pPr>
      <w:bookmarkStart w:id="27" w:name="_Ref392596545"/>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8</w:t>
      </w:r>
      <w:r>
        <w:fldChar w:fldCharType="end"/>
      </w:r>
      <w:bookmarkEnd w:id="27"/>
      <w:r>
        <w:rPr>
          <w:rFonts w:cs="Arial"/>
          <w:iCs/>
          <w:szCs w:val="26"/>
          <w:lang w:val="ru-RU" w:eastAsia="zh-CN"/>
        </w:rPr>
        <w:t xml:space="preserve"> – Перспективные балансы тепловой мощности источников тепловой энергии и тепловой нагрузки</w:t>
      </w:r>
    </w:p>
    <w:tbl>
      <w:tblPr>
        <w:tblW w:w="4950" w:type="pct"/>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val="04a0"/>
      </w:tblPr>
      <w:tblGrid>
        <w:gridCol w:w="1210"/>
        <w:gridCol w:w="1256"/>
        <w:gridCol w:w="1372"/>
        <w:gridCol w:w="1144"/>
        <w:gridCol w:w="905"/>
        <w:gridCol w:w="1105"/>
        <w:gridCol w:w="1254"/>
        <w:gridCol w:w="1372"/>
        <w:gridCol w:w="1372"/>
        <w:gridCol w:w="1144"/>
        <w:gridCol w:w="905"/>
        <w:gridCol w:w="1103"/>
      </w:tblGrid>
      <w:tr>
        <w:trPr>
          <w:tblHeader w:val="true"/>
          <w:trHeight w:val="170" w:hRule="atLeast"/>
        </w:trPr>
        <w:tc>
          <w:tcPr>
            <w:tcW w:w="12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rPr>
            </w:pPr>
            <w:r>
              <w:rPr>
                <w:rFonts w:cs="Arial"/>
                <w:b/>
                <w:bCs/>
                <w:w w:val="90"/>
                <w:sz w:val="20"/>
                <w:szCs w:val="20"/>
              </w:rPr>
              <w:t>Источник</w:t>
            </w:r>
          </w:p>
        </w:tc>
        <w:tc>
          <w:tcPr>
            <w:tcW w:w="5782"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rPr>
            </w:pPr>
            <w:r>
              <w:rPr>
                <w:rFonts w:cs="Arial"/>
                <w:b/>
                <w:bCs/>
                <w:w w:val="90"/>
                <w:sz w:val="20"/>
                <w:szCs w:val="20"/>
              </w:rPr>
              <w:t>первая очередь(существующие)</w:t>
            </w:r>
          </w:p>
        </w:tc>
        <w:tc>
          <w:tcPr>
            <w:tcW w:w="7150"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rPr>
            </w:pPr>
            <w:r>
              <w:rPr>
                <w:rFonts w:cs="Arial"/>
                <w:b/>
                <w:bCs/>
                <w:w w:val="90"/>
                <w:sz w:val="20"/>
                <w:szCs w:val="20"/>
              </w:rPr>
              <w:t>расчетный срок</w:t>
            </w:r>
          </w:p>
        </w:tc>
      </w:tr>
      <w:tr>
        <w:trPr>
          <w:tblHeader w:val="true"/>
          <w:trHeight w:val="170" w:hRule="atLeast"/>
        </w:trPr>
        <w:tc>
          <w:tcPr>
            <w:tcW w:w="12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left"/>
              <w:rPr>
                <w:rFonts w:cs="Arial"/>
                <w:b/>
                <w:b/>
                <w:bCs/>
                <w:w w:val="90"/>
                <w:sz w:val="20"/>
                <w:szCs w:val="20"/>
              </w:rPr>
            </w:pPr>
            <w:r>
              <w:rPr>
                <w:rFonts w:cs="Arial"/>
                <w:b/>
                <w:bCs/>
                <w:w w:val="90"/>
                <w:sz w:val="20"/>
                <w:szCs w:val="20"/>
              </w:rPr>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lang w:val="ru-RU"/>
              </w:rPr>
            </w:pPr>
            <w:r>
              <w:rPr>
                <w:rFonts w:cs="Arial"/>
                <w:b/>
                <w:bCs/>
                <w:w w:val="90"/>
                <w:sz w:val="20"/>
                <w:szCs w:val="20"/>
                <w:lang w:val="ru-RU"/>
              </w:rPr>
              <w:t>Установленная мощность котельной, Гкал/ч</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rPr>
            </w:pPr>
            <w:r>
              <w:rPr>
                <w:rFonts w:cs="Arial"/>
                <w:b/>
                <w:bCs/>
                <w:w w:val="90"/>
                <w:sz w:val="20"/>
                <w:szCs w:val="20"/>
              </w:rPr>
              <w:t>Присоединенная нагрузка, Гкал/ч</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rPr>
            </w:pPr>
            <w:r>
              <w:rPr>
                <w:rFonts w:cs="Arial"/>
                <w:b/>
                <w:bCs/>
                <w:w w:val="90"/>
                <w:sz w:val="20"/>
                <w:szCs w:val="20"/>
              </w:rPr>
              <w:t>Собственные нужды, %</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lang w:val="ru-RU"/>
              </w:rPr>
            </w:pPr>
            <w:r>
              <w:rPr>
                <w:rFonts w:cs="Arial"/>
                <w:b/>
                <w:bCs/>
                <w:w w:val="90"/>
                <w:sz w:val="20"/>
                <w:szCs w:val="20"/>
                <w:lang w:val="ru-RU"/>
              </w:rPr>
              <w:t>Резерв(+)/ дефицит(-) тепловой мощности нетто, Гкал</w:t>
            </w:r>
          </w:p>
        </w:tc>
        <w:tc>
          <w:tcPr>
            <w:tcW w:w="11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rPr>
            </w:pPr>
            <w:r>
              <w:rPr>
                <w:rFonts w:cs="Arial"/>
                <w:b/>
                <w:bCs/>
                <w:w w:val="90"/>
                <w:sz w:val="20"/>
                <w:szCs w:val="20"/>
              </w:rPr>
              <w:t>Выработано, Гкал</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lang w:val="ru-RU"/>
              </w:rPr>
            </w:pPr>
            <w:r>
              <w:rPr>
                <w:rFonts w:cs="Arial"/>
                <w:b/>
                <w:bCs/>
                <w:w w:val="90"/>
                <w:sz w:val="20"/>
                <w:szCs w:val="20"/>
                <w:lang w:val="ru-RU"/>
              </w:rPr>
              <w:t>Установленная мощность котельной, Гкал/ч</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rPr>
            </w:pPr>
            <w:r>
              <w:rPr>
                <w:rFonts w:cs="Arial"/>
                <w:b/>
                <w:bCs/>
                <w:w w:val="90"/>
                <w:sz w:val="20"/>
                <w:szCs w:val="20"/>
              </w:rPr>
              <w:t>Присоединенная нагрузка, Гкал/ч</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rPr>
            </w:pPr>
            <w:r>
              <w:rPr>
                <w:rFonts w:cs="Arial"/>
                <w:b/>
                <w:bCs/>
                <w:w w:val="90"/>
                <w:sz w:val="20"/>
                <w:szCs w:val="20"/>
              </w:rPr>
              <w:t>Присоединенная нагрузка, Мвт</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rPr>
            </w:pPr>
            <w:r>
              <w:rPr>
                <w:rFonts w:cs="Arial"/>
                <w:b/>
                <w:bCs/>
                <w:w w:val="90"/>
                <w:sz w:val="20"/>
                <w:szCs w:val="20"/>
              </w:rPr>
              <w:t>Собственные нужды, %</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lang w:val="ru-RU"/>
              </w:rPr>
            </w:pPr>
            <w:r>
              <w:rPr>
                <w:rFonts w:cs="Arial"/>
                <w:b/>
                <w:bCs/>
                <w:w w:val="90"/>
                <w:sz w:val="20"/>
                <w:szCs w:val="20"/>
                <w:lang w:val="ru-RU"/>
              </w:rPr>
              <w:t>Резерв(+)/ дефицит(-) тепловой мощности нетто, Гкал</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w w:val="90"/>
                <w:sz w:val="20"/>
                <w:szCs w:val="20"/>
              </w:rPr>
            </w:pPr>
            <w:r>
              <w:rPr>
                <w:rFonts w:cs="Arial"/>
                <w:b/>
                <w:bCs/>
                <w:w w:val="90"/>
                <w:sz w:val="20"/>
                <w:szCs w:val="20"/>
              </w:rPr>
              <w:t>Выработано, Гкал</w:t>
            </w:r>
          </w:p>
        </w:tc>
      </w:tr>
      <w:tr>
        <w:trPr>
          <w:trHeight w:val="170" w:hRule="atLeast"/>
        </w:trPr>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w w:val="90"/>
                <w:sz w:val="20"/>
                <w:szCs w:val="20"/>
              </w:rPr>
            </w:pPr>
            <w:r>
              <w:rPr>
                <w:rFonts w:cs="Arial"/>
                <w:w w:val="90"/>
                <w:sz w:val="20"/>
                <w:szCs w:val="20"/>
              </w:rPr>
              <w:t>Котельная №1, ул. Октябрьская</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7.38</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5.45</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0.40</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1.93</w:t>
            </w:r>
          </w:p>
        </w:tc>
        <w:tc>
          <w:tcPr>
            <w:tcW w:w="11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16283.9</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12,0</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9,4</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11.16</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0.40</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2,0</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29878.8</w:t>
            </w:r>
          </w:p>
        </w:tc>
      </w:tr>
      <w:tr>
        <w:trPr>
          <w:trHeight w:val="170" w:hRule="atLeast"/>
        </w:trPr>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w w:val="90"/>
                <w:sz w:val="20"/>
                <w:szCs w:val="20"/>
              </w:rPr>
            </w:pPr>
            <w:r>
              <w:rPr>
                <w:rFonts w:cs="Arial"/>
                <w:w w:val="90"/>
                <w:sz w:val="20"/>
                <w:szCs w:val="20"/>
              </w:rPr>
              <w:t xml:space="preserve">Котельная №2, ул. Молодежная </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0.20</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0.06</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0.40</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0.14</w:t>
            </w:r>
          </w:p>
        </w:tc>
        <w:tc>
          <w:tcPr>
            <w:tcW w:w="11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171.0</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0.20</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0.06</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0.07</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0.40</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0.14</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171.0</w:t>
            </w:r>
          </w:p>
        </w:tc>
      </w:tr>
      <w:tr>
        <w:trPr>
          <w:trHeight w:val="170" w:hRule="atLeast"/>
        </w:trPr>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w w:val="90"/>
                <w:sz w:val="20"/>
                <w:szCs w:val="20"/>
              </w:rPr>
            </w:pPr>
            <w:r>
              <w:rPr>
                <w:rFonts w:cs="Arial"/>
                <w:w w:val="90"/>
                <w:sz w:val="20"/>
                <w:szCs w:val="20"/>
              </w:rPr>
              <w:t xml:space="preserve">Котельная №4, ул. Солнечная </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0.13</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0.10</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0.40</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0.03</w:t>
            </w:r>
          </w:p>
        </w:tc>
        <w:tc>
          <w:tcPr>
            <w:tcW w:w="11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103.5</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0.13</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0.10</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0.12</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0.40</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0.03</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103.5</w:t>
            </w:r>
          </w:p>
        </w:tc>
      </w:tr>
      <w:tr>
        <w:trPr>
          <w:trHeight w:val="170" w:hRule="atLeast"/>
        </w:trPr>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w w:val="90"/>
                <w:sz w:val="20"/>
                <w:szCs w:val="20"/>
              </w:rPr>
            </w:pPr>
            <w:r>
              <w:rPr>
                <w:rFonts w:cs="Arial"/>
                <w:w w:val="90"/>
                <w:sz w:val="20"/>
                <w:szCs w:val="20"/>
              </w:rPr>
              <w:t>Котельная №5, ст. Юность Комсомольская</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5.01</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1.59</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0.50</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3.42</w:t>
            </w:r>
          </w:p>
        </w:tc>
        <w:tc>
          <w:tcPr>
            <w:tcW w:w="11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475.5</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5.01</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1.59</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1.85</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0.50</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3.42</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475.5</w:t>
            </w:r>
          </w:p>
        </w:tc>
      </w:tr>
      <w:tr>
        <w:trPr>
          <w:trHeight w:val="170" w:hRule="atLeast"/>
        </w:trPr>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w w:val="90"/>
                <w:sz w:val="20"/>
                <w:szCs w:val="20"/>
              </w:rPr>
            </w:pPr>
            <w:r>
              <w:rPr>
                <w:rFonts w:cs="Arial"/>
                <w:w w:val="90"/>
                <w:sz w:val="20"/>
                <w:szCs w:val="20"/>
              </w:rPr>
              <w:t>Котельная №6, Промбаза</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1.46</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0.45</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0.70</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1.01</w:t>
            </w:r>
          </w:p>
        </w:tc>
        <w:tc>
          <w:tcPr>
            <w:tcW w:w="11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7107.1</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1.46</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0.45</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0.52</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0.70</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1.01</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7107.1</w:t>
            </w:r>
          </w:p>
        </w:tc>
      </w:tr>
      <w:tr>
        <w:trPr>
          <w:trHeight w:val="170" w:hRule="atLeast"/>
        </w:trPr>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w w:val="90"/>
                <w:sz w:val="20"/>
                <w:szCs w:val="20"/>
              </w:rPr>
            </w:pPr>
            <w:r>
              <w:rPr>
                <w:rFonts w:cs="Arial"/>
                <w:w w:val="90"/>
                <w:sz w:val="20"/>
                <w:szCs w:val="20"/>
              </w:rPr>
              <w:t>Котельная №7, КОС</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0.73</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0.04</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0.4</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0.69</w:t>
            </w:r>
          </w:p>
        </w:tc>
        <w:tc>
          <w:tcPr>
            <w:tcW w:w="11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74.2</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0.73</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0.04</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0.05</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0.4</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0.69</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w w:val="90"/>
                <w:sz w:val="20"/>
                <w:szCs w:val="20"/>
              </w:rPr>
            </w:pPr>
            <w:r>
              <w:rPr>
                <w:rFonts w:cs="Arial"/>
                <w:w w:val="90"/>
                <w:sz w:val="20"/>
                <w:szCs w:val="20"/>
              </w:rPr>
              <w:t>74.2</w:t>
            </w:r>
          </w:p>
        </w:tc>
      </w:tr>
      <w:tr>
        <w:trPr>
          <w:trHeight w:val="170" w:hRule="atLeast"/>
        </w:trPr>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w w:val="90"/>
                <w:sz w:val="20"/>
                <w:szCs w:val="20"/>
                <w:lang w:val="ru-RU"/>
              </w:rPr>
            </w:pPr>
            <w:r>
              <w:rPr>
                <w:rFonts w:cs="Arial"/>
                <w:w w:val="90"/>
                <w:sz w:val="20"/>
                <w:szCs w:val="20"/>
                <w:lang w:val="ru-RU"/>
              </w:rPr>
              <w:t>Котельная ООО «Газпром энерго», ул. Газовиков</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6,02</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0,36</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5,42</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4,69</w:t>
            </w:r>
          </w:p>
        </w:tc>
        <w:tc>
          <w:tcPr>
            <w:tcW w:w="11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2766</w:t>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6,02</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0,36</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5,42</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4,69</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2766</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2766</w:t>
            </w:r>
          </w:p>
        </w:tc>
      </w:tr>
      <w:tr>
        <w:trPr>
          <w:trHeight w:val="170" w:hRule="atLeast"/>
        </w:trPr>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w w:val="90"/>
                <w:sz w:val="20"/>
                <w:szCs w:val="20"/>
              </w:rPr>
            </w:pPr>
            <w:r>
              <w:rPr>
                <w:rFonts w:cs="Arial"/>
                <w:w w:val="90"/>
                <w:sz w:val="20"/>
                <w:szCs w:val="20"/>
              </w:rPr>
              <w:t>Котельная блочная 0,6 МВт «Больница»</w:t>
            </w:r>
          </w:p>
        </w:tc>
        <w:tc>
          <w:tcPr>
            <w:tcW w:w="12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r>
          </w:p>
        </w:tc>
        <w:tc>
          <w:tcPr>
            <w:tcW w:w="11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r>
          </w:p>
        </w:tc>
        <w:tc>
          <w:tcPr>
            <w:tcW w:w="12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0,515</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0,45</w:t>
            </w:r>
          </w:p>
        </w:tc>
        <w:tc>
          <w:tcPr>
            <w:tcW w:w="13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0,5</w:t>
            </w:r>
          </w:p>
        </w:tc>
        <w:tc>
          <w:tcPr>
            <w:tcW w:w="11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0,4</w:t>
            </w:r>
          </w:p>
        </w:tc>
        <w:tc>
          <w:tcPr>
            <w:tcW w:w="9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t>0,065</w:t>
            </w:r>
          </w:p>
        </w:tc>
        <w:tc>
          <w:tcPr>
            <w:tcW w:w="11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w w:val="90"/>
                <w:sz w:val="20"/>
                <w:szCs w:val="20"/>
              </w:rPr>
            </w:r>
          </w:p>
        </w:tc>
      </w:tr>
    </w:tbl>
    <w:p>
      <w:pPr>
        <w:pStyle w:val="Normal"/>
        <w:rPr>
          <w:rFonts w:cs="Arial"/>
          <w:szCs w:val="26"/>
          <w:lang w:val="ru-RU"/>
        </w:rPr>
      </w:pPr>
      <w:r>
        <w:rPr>
          <w:rFonts w:cs="Arial"/>
          <w:szCs w:val="26"/>
          <w:lang w:val="ru-RU"/>
        </w:rPr>
      </w:r>
    </w:p>
    <w:p>
      <w:pPr>
        <w:sectPr>
          <w:footerReference w:type="default" r:id="rId23"/>
          <w:type w:val="nextPage"/>
          <w:pgSz w:orient="landscape" w:w="16838" w:h="11906"/>
          <w:pgMar w:left="1701" w:right="851" w:header="0" w:top="567" w:footer="709" w:bottom="766" w:gutter="0"/>
          <w:pgNumType w:fmt="decimal"/>
          <w:formProt w:val="false"/>
          <w:textDirection w:val="lrTb"/>
          <w:docGrid w:type="default" w:linePitch="360" w:charSpace="4294957055"/>
        </w:sectPr>
        <w:pStyle w:val="Normal"/>
        <w:rPr>
          <w:rFonts w:cs="Arial"/>
          <w:szCs w:val="26"/>
          <w:lang w:val="ru-RU"/>
        </w:rPr>
      </w:pPr>
      <w:r>
        <w:rPr>
          <w:rFonts w:cs="Arial"/>
          <w:szCs w:val="26"/>
          <w:lang w:val="ru-RU"/>
        </w:rPr>
        <w:t>Как мы видим из таблицы 90% источники тепловой энергии обладают резервом мощности необходимым для компенсации затрат на собственные нужды котельной и потерь в тепловых сетях.</w:t>
      </w:r>
    </w:p>
    <w:p>
      <w:pPr>
        <w:pStyle w:val="Normal"/>
        <w:numPr>
          <w:ilvl w:val="1"/>
          <w:numId w:val="1"/>
        </w:numPr>
        <w:ind w:left="0" w:firstLine="578"/>
        <w:jc w:val="center"/>
        <w:outlineLvl w:val="1"/>
        <w:rPr>
          <w:rFonts w:cs="Arial"/>
          <w:b/>
          <w:b/>
          <w:szCs w:val="26"/>
          <w:lang w:val="ru-RU" w:eastAsia="ru-RU"/>
        </w:rPr>
      </w:pPr>
      <w:bookmarkStart w:id="28" w:name="_Toc397084934"/>
      <w:bookmarkStart w:id="29" w:name="_Toc398022659"/>
      <w:bookmarkEnd w:id="28"/>
      <w:bookmarkEnd w:id="29"/>
      <w:r>
        <w:rPr>
          <w:rFonts w:cs="Arial"/>
          <w:b/>
          <w:szCs w:val="26"/>
          <w:lang w:val="ru-RU"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pPr>
        <w:pStyle w:val="Normal"/>
        <w:rPr>
          <w:rFonts w:eastAsia="MS Mincho" w:cs="Arial"/>
          <w:szCs w:val="26"/>
          <w:lang w:val="ru-RU"/>
        </w:rPr>
      </w:pPr>
      <w:r>
        <w:rPr>
          <w:rFonts w:eastAsia="MS Mincho" w:cs="Arial"/>
          <w:szCs w:val="26"/>
          <w:lang w:val="ru-RU"/>
        </w:rPr>
        <w:t>Существующих и перспективных технических ограничений на использование установленной тепловой мощности и значения располагаемой мощности основного оборудования источников тепловой энергии нет.</w:t>
      </w:r>
    </w:p>
    <w:p>
      <w:pPr>
        <w:pStyle w:val="Normal"/>
        <w:rPr>
          <w:rFonts w:eastAsia="MS Mincho" w:cs="Arial"/>
          <w:szCs w:val="26"/>
          <w:lang w:val="ru-RU"/>
        </w:rPr>
      </w:pPr>
      <w:r>
        <w:rPr>
          <w:rFonts w:eastAsia="MS Mincho" w:cs="Arial"/>
          <w:szCs w:val="26"/>
          <w:lang w:val="ru-RU"/>
        </w:rPr>
      </w:r>
    </w:p>
    <w:p>
      <w:pPr>
        <w:pStyle w:val="Normal"/>
        <w:numPr>
          <w:ilvl w:val="1"/>
          <w:numId w:val="1"/>
        </w:numPr>
        <w:ind w:left="0" w:hanging="0"/>
        <w:jc w:val="center"/>
        <w:outlineLvl w:val="1"/>
        <w:rPr>
          <w:rFonts w:cs="Arial"/>
          <w:b/>
          <w:b/>
          <w:szCs w:val="26"/>
          <w:lang w:val="ru-RU" w:eastAsia="ru-RU"/>
        </w:rPr>
      </w:pPr>
      <w:bookmarkStart w:id="30" w:name="_Toc397084935"/>
      <w:bookmarkStart w:id="31" w:name="_Toc398022660"/>
      <w:bookmarkEnd w:id="30"/>
      <w:bookmarkEnd w:id="31"/>
      <w:r>
        <w:rPr>
          <w:rFonts w:cs="Arial"/>
          <w:b/>
          <w:szCs w:val="26"/>
          <w:lang w:val="ru-RU" w:eastAsia="ru-RU"/>
        </w:rPr>
        <w:t>Существующие и перспективные затраты тепловой мощности на собственные и хозяйственные нужды источников тепловой энергии</w:t>
      </w:r>
    </w:p>
    <w:p>
      <w:pPr>
        <w:pStyle w:val="Normal"/>
        <w:rPr/>
      </w:pPr>
      <w:r>
        <w:rPr>
          <w:rFonts w:eastAsia="MS Mincho" w:cs="Arial"/>
          <w:szCs w:val="26"/>
          <w:lang w:val="ru-RU"/>
        </w:rPr>
        <w:t>Существующие (</w:t>
      </w:r>
      <w:r>
        <w:rPr>
          <w:rFonts w:cs="Arial"/>
          <w:szCs w:val="26"/>
          <w:lang w:val="ru-RU"/>
        </w:rPr>
        <w:t>соответствуют значениям первой очереди (2015-2020г)</w:t>
      </w:r>
      <w:r>
        <w:rPr>
          <w:rFonts w:eastAsia="MS Mincho" w:cs="Arial"/>
          <w:szCs w:val="26"/>
          <w:lang w:val="ru-RU"/>
        </w:rPr>
        <w:t xml:space="preserve">) и перспективные затраты тепловой мощности на собственные и хозяйственные нужды источников тепловой энергии приведены в </w:t>
      </w:r>
      <w:r>
        <w:rPr>
          <w:rFonts w:eastAsia="MS Mincho" w:cs="Arial"/>
          <w:szCs w:val="26"/>
          <w:lang w:val="ru-RU"/>
        </w:rPr>
        <w:fldChar w:fldCharType="begin"/>
      </w:r>
      <w:r>
        <w:instrText> REF _Ref392596545 \h </w:instrText>
      </w:r>
      <w:r>
        <w:fldChar w:fldCharType="separate"/>
      </w:r>
      <w:r>
        <w:t>Таблица 8</w:t>
      </w:r>
      <w:r>
        <w:fldChar w:fldCharType="end"/>
      </w:r>
      <w:r>
        <w:rPr>
          <w:rFonts w:eastAsia="MS Mincho" w:cs="Arial"/>
          <w:szCs w:val="26"/>
          <w:lang w:val="ru-RU"/>
        </w:rPr>
        <w:t>.</w:t>
      </w:r>
    </w:p>
    <w:p>
      <w:pPr>
        <w:pStyle w:val="Normal"/>
        <w:rPr>
          <w:rFonts w:eastAsia="MS Mincho" w:cs="Arial"/>
          <w:szCs w:val="26"/>
          <w:lang w:val="ru-RU"/>
        </w:rPr>
      </w:pPr>
      <w:r>
        <w:rPr>
          <w:rFonts w:eastAsia="MS Mincho" w:cs="Arial"/>
          <w:szCs w:val="26"/>
          <w:lang w:val="ru-RU"/>
        </w:rPr>
      </w:r>
    </w:p>
    <w:p>
      <w:pPr>
        <w:pStyle w:val="Normal"/>
        <w:numPr>
          <w:ilvl w:val="1"/>
          <w:numId w:val="1"/>
        </w:numPr>
        <w:ind w:left="0" w:hanging="0"/>
        <w:jc w:val="center"/>
        <w:outlineLvl w:val="1"/>
        <w:rPr>
          <w:rFonts w:cs="Arial"/>
          <w:b/>
          <w:b/>
          <w:szCs w:val="26"/>
          <w:lang w:val="ru-RU" w:eastAsia="ru-RU"/>
        </w:rPr>
      </w:pPr>
      <w:bookmarkStart w:id="32" w:name="_Toc397084936"/>
      <w:bookmarkStart w:id="33" w:name="_Toc398022661"/>
      <w:bookmarkEnd w:id="32"/>
      <w:bookmarkEnd w:id="33"/>
      <w:r>
        <w:rPr>
          <w:rFonts w:cs="Arial"/>
          <w:b/>
          <w:szCs w:val="26"/>
          <w:lang w:val="ru-RU" w:eastAsia="ru-RU"/>
        </w:rPr>
        <w:t>Значения существующей и перспективной тепловой мощности источников тепловой энергии нетто</w:t>
      </w:r>
    </w:p>
    <w:p>
      <w:pPr>
        <w:pStyle w:val="Normal"/>
        <w:rPr>
          <w:lang w:val="ru-RU"/>
        </w:rPr>
      </w:pPr>
      <w:r>
        <w:rPr>
          <w:rFonts w:eastAsia="MS Mincho" w:cs="Arial"/>
          <w:szCs w:val="26"/>
          <w:lang w:val="ru-RU"/>
        </w:rPr>
        <w:t>Значения существующей (</w:t>
      </w:r>
      <w:r>
        <w:rPr>
          <w:rFonts w:cs="Arial"/>
          <w:szCs w:val="26"/>
          <w:lang w:val="ru-RU"/>
        </w:rPr>
        <w:t>соответствуют значениям первой очереди (2015-2020г)</w:t>
      </w:r>
      <w:r>
        <w:rPr>
          <w:rFonts w:eastAsia="MS Mincho" w:cs="Arial"/>
          <w:szCs w:val="26"/>
          <w:lang w:val="ru-RU"/>
        </w:rPr>
        <w:t xml:space="preserve">) и перспективной тепловой мощности источников тепловой энергии нетто приведены в </w:t>
      </w:r>
    </w:p>
    <w:p>
      <w:pPr>
        <w:pStyle w:val="Normal"/>
        <w:suppressLineNumbers/>
        <w:suppressAutoHyphens w:val="true"/>
        <w:jc w:val="right"/>
        <w:textAlignment w:val="baseline"/>
        <w:rPr/>
      </w:pPr>
      <w:r>
        <w:rPr/>
      </w:r>
    </w:p>
    <w:p>
      <w:pPr>
        <w:pStyle w:val="Normal"/>
        <w:rPr>
          <w:lang w:val="ru-RU"/>
        </w:rPr>
      </w:pPr>
      <w:r>
        <w:rPr/>
        <w:fldChar w:fldCharType="begin"/>
      </w:r>
      <w:r>
        <w:instrText> REF _Ref397074694 \h </w:instrText>
      </w:r>
      <w:r>
        <w:fldChar w:fldCharType="separate"/>
      </w:r>
      <w:r>
        <w:t>0</w:t>
      </w:r>
      <w:r>
        <w:fldChar w:fldCharType="end"/>
      </w:r>
      <w:r>
        <w:rPr>
          <w:rFonts w:eastAsia="MS Mincho" w:cs="Arial"/>
          <w:szCs w:val="26"/>
          <w:lang w:val="ru-RU"/>
        </w:rPr>
        <w:t>.</w:t>
      </w:r>
    </w:p>
    <w:p>
      <w:pPr>
        <w:pStyle w:val="Normal"/>
        <w:suppressLineNumbers/>
        <w:suppressAutoHyphens w:val="true"/>
        <w:jc w:val="right"/>
        <w:textAlignment w:val="baseline"/>
        <w:rPr>
          <w:rFonts w:cs="Arial"/>
          <w:iCs/>
          <w:szCs w:val="26"/>
          <w:lang w:val="ru-RU" w:eastAsia="zh-CN"/>
        </w:rPr>
      </w:pPr>
      <w:bookmarkStart w:id="34" w:name="_Ref397074694"/>
      <w:r>
        <w:rPr>
          <w:rFonts w:cs="Arial"/>
          <w:iCs/>
          <w:szCs w:val="26"/>
          <w:lang w:val="ru-RU" w:eastAsia="zh-CN"/>
        </w:rPr>
        <w:t>0</w:t>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9</w:t>
      </w:r>
      <w:r>
        <w:fldChar w:fldCharType="end"/>
      </w:r>
      <w:bookmarkEnd w:id="34"/>
      <w:r>
        <w:rPr>
          <w:rFonts w:cs="Arial"/>
          <w:iCs/>
          <w:szCs w:val="26"/>
          <w:lang w:val="ru-RU" w:eastAsia="zh-CN"/>
        </w:rPr>
        <w:t xml:space="preserve"> – </w:t>
      </w:r>
      <w:r>
        <w:rPr>
          <w:rFonts w:eastAsia="MS Mincho" w:cs="Arial"/>
          <w:iCs/>
          <w:szCs w:val="26"/>
          <w:lang w:val="ru-RU" w:eastAsia="zh-CN"/>
        </w:rPr>
        <w:t>Значения существующей и перспективной тепловой мощности источников тепловой энергии нетто</w:t>
      </w:r>
    </w:p>
    <w:tbl>
      <w:tblPr>
        <w:tblW w:w="5000" w:type="pct"/>
        <w:jc w:val="left"/>
        <w:tblInd w:w="-3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68" w:type="dxa"/>
          <w:bottom w:w="0" w:type="dxa"/>
          <w:right w:w="108" w:type="dxa"/>
        </w:tblCellMar>
        <w:tblLook w:val="04a0"/>
      </w:tblPr>
      <w:tblGrid>
        <w:gridCol w:w="1103"/>
        <w:gridCol w:w="1419"/>
        <w:gridCol w:w="1287"/>
        <w:gridCol w:w="1419"/>
        <w:gridCol w:w="1419"/>
        <w:gridCol w:w="1287"/>
        <w:gridCol w:w="1419"/>
      </w:tblGrid>
      <w:tr>
        <w:trPr>
          <w:tblHeader w:val="true"/>
          <w:trHeight w:val="20" w:hRule="atLeast"/>
        </w:trPr>
        <w:tc>
          <w:tcPr>
            <w:tcW w:w="1103" w:type="dxa"/>
            <w:vMerge w:val="restart"/>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DFEC" w:val="clear"/>
            <w:tcMar>
              <w:left w:w="68" w:type="dxa"/>
            </w:tcMar>
            <w:vAlign w:val="bottom"/>
          </w:tcPr>
          <w:p>
            <w:pPr>
              <w:pStyle w:val="Normal"/>
              <w:ind w:hanging="0"/>
              <w:jc w:val="center"/>
              <w:rPr>
                <w:rFonts w:cs="Arial"/>
                <w:b/>
                <w:b/>
                <w:bCs/>
                <w:color w:val="000000"/>
                <w:w w:val="90"/>
                <w:sz w:val="20"/>
                <w:szCs w:val="20"/>
              </w:rPr>
            </w:pPr>
            <w:r>
              <w:rPr>
                <w:rFonts w:cs="Arial"/>
                <w:b/>
                <w:bCs/>
                <w:color w:val="000000"/>
                <w:w w:val="90"/>
                <w:sz w:val="20"/>
                <w:szCs w:val="20"/>
              </w:rPr>
              <w:t>Источник</w:t>
            </w:r>
          </w:p>
        </w:tc>
        <w:tc>
          <w:tcPr>
            <w:tcW w:w="4125"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tcMar>
              <w:left w:w="68" w:type="dxa"/>
            </w:tcMar>
            <w:vAlign w:val="bottom"/>
          </w:tcPr>
          <w:p>
            <w:pPr>
              <w:pStyle w:val="Normal"/>
              <w:ind w:hanging="0"/>
              <w:jc w:val="center"/>
              <w:rPr>
                <w:rFonts w:cs="Arial"/>
                <w:b/>
                <w:b/>
                <w:bCs/>
                <w:color w:val="000000"/>
                <w:w w:val="90"/>
                <w:sz w:val="20"/>
                <w:szCs w:val="20"/>
              </w:rPr>
            </w:pPr>
            <w:r>
              <w:rPr>
                <w:rFonts w:cs="Arial"/>
                <w:b/>
                <w:bCs/>
                <w:color w:val="000000"/>
                <w:w w:val="90"/>
                <w:sz w:val="20"/>
                <w:szCs w:val="20"/>
              </w:rPr>
              <w:t>Первая очередь (2015-2020г)</w:t>
            </w:r>
          </w:p>
        </w:tc>
        <w:tc>
          <w:tcPr>
            <w:tcW w:w="4125"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DFEC" w:val="clear"/>
            <w:tcMar>
              <w:left w:w="68" w:type="dxa"/>
            </w:tcMar>
            <w:vAlign w:val="bottom"/>
          </w:tcPr>
          <w:p>
            <w:pPr>
              <w:pStyle w:val="Normal"/>
              <w:ind w:hanging="0"/>
              <w:jc w:val="center"/>
              <w:rPr>
                <w:rFonts w:cs="Arial"/>
                <w:b/>
                <w:b/>
                <w:bCs/>
                <w:color w:val="000000"/>
                <w:w w:val="90"/>
                <w:sz w:val="20"/>
                <w:szCs w:val="20"/>
              </w:rPr>
            </w:pPr>
            <w:r>
              <w:rPr>
                <w:rFonts w:cs="Arial"/>
                <w:b/>
                <w:bCs/>
                <w:color w:val="000000"/>
                <w:w w:val="90"/>
                <w:sz w:val="20"/>
                <w:szCs w:val="20"/>
              </w:rPr>
              <w:t>Расчетный срок (2021-2030г)</w:t>
            </w:r>
          </w:p>
        </w:tc>
      </w:tr>
      <w:tr>
        <w:trPr>
          <w:tblHeader w:val="true"/>
          <w:trHeight w:val="20" w:hRule="atLeast"/>
        </w:trPr>
        <w:tc>
          <w:tcPr>
            <w:tcW w:w="1103" w:type="dxa"/>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center"/>
          </w:tcPr>
          <w:p>
            <w:pPr>
              <w:pStyle w:val="Normal"/>
              <w:ind w:hanging="0"/>
              <w:jc w:val="left"/>
              <w:rPr>
                <w:rFonts w:cs="Arial"/>
                <w:b/>
                <w:b/>
                <w:bCs/>
                <w:color w:val="000000"/>
                <w:w w:val="90"/>
                <w:sz w:val="20"/>
                <w:szCs w:val="20"/>
              </w:rPr>
            </w:pPr>
            <w:r>
              <w:rPr>
                <w:rFonts w:cs="Arial"/>
                <w:b/>
                <w:bCs/>
                <w:color w:val="000000"/>
                <w:w w:val="90"/>
                <w:sz w:val="20"/>
                <w:szCs w:val="20"/>
              </w:rPr>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w w:val="90"/>
                <w:sz w:val="20"/>
                <w:szCs w:val="20"/>
                <w:lang w:val="ru-RU"/>
              </w:rPr>
            </w:pPr>
            <w:r>
              <w:rPr>
                <w:rFonts w:cs="Arial"/>
                <w:b/>
                <w:bCs/>
                <w:color w:val="000000"/>
                <w:w w:val="90"/>
                <w:sz w:val="20"/>
                <w:szCs w:val="20"/>
                <w:lang w:val="ru-RU"/>
              </w:rPr>
              <w:t>Установленная мощность котельной, Гкал/ч</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w w:val="90"/>
                <w:sz w:val="20"/>
                <w:szCs w:val="20"/>
              </w:rPr>
            </w:pPr>
            <w:r>
              <w:rPr>
                <w:rFonts w:cs="Arial"/>
                <w:b/>
                <w:bCs/>
                <w:color w:val="000000"/>
                <w:w w:val="90"/>
                <w:sz w:val="20"/>
                <w:szCs w:val="20"/>
              </w:rPr>
              <w:t>Собственные нужды, %</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w w:val="90"/>
                <w:sz w:val="20"/>
                <w:szCs w:val="20"/>
                <w:lang w:val="ru-RU"/>
              </w:rPr>
            </w:pPr>
            <w:r>
              <w:rPr>
                <w:rFonts w:cs="Arial"/>
                <w:b/>
                <w:bCs/>
                <w:color w:val="000000"/>
                <w:w w:val="90"/>
                <w:sz w:val="20"/>
                <w:szCs w:val="20"/>
                <w:lang w:val="ru-RU"/>
              </w:rPr>
              <w:t>Установленная мощность котельной нетто, Гкал/ч</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w w:val="90"/>
                <w:sz w:val="20"/>
                <w:szCs w:val="20"/>
                <w:lang w:val="ru-RU"/>
              </w:rPr>
            </w:pPr>
            <w:r>
              <w:rPr>
                <w:rFonts w:cs="Arial"/>
                <w:b/>
                <w:bCs/>
                <w:color w:val="000000"/>
                <w:w w:val="90"/>
                <w:sz w:val="20"/>
                <w:szCs w:val="20"/>
                <w:lang w:val="ru-RU"/>
              </w:rPr>
              <w:t>Установленная мощность котельной, Гкал/ч</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w w:val="90"/>
                <w:sz w:val="20"/>
                <w:szCs w:val="20"/>
              </w:rPr>
            </w:pPr>
            <w:r>
              <w:rPr>
                <w:rFonts w:cs="Arial"/>
                <w:b/>
                <w:bCs/>
                <w:color w:val="000000"/>
                <w:w w:val="90"/>
                <w:sz w:val="20"/>
                <w:szCs w:val="20"/>
              </w:rPr>
              <w:t>Собственные нужды, %</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w w:val="90"/>
                <w:sz w:val="20"/>
                <w:szCs w:val="20"/>
                <w:lang w:val="ru-RU"/>
              </w:rPr>
            </w:pPr>
            <w:r>
              <w:rPr>
                <w:rFonts w:cs="Arial"/>
                <w:b/>
                <w:bCs/>
                <w:color w:val="000000"/>
                <w:w w:val="90"/>
                <w:sz w:val="20"/>
                <w:szCs w:val="20"/>
                <w:lang w:val="ru-RU"/>
              </w:rPr>
              <w:t>Установленная мощность котельной нетто, Гкал/ч</w:t>
            </w:r>
          </w:p>
        </w:tc>
      </w:tr>
      <w:tr>
        <w:trPr>
          <w:trHeight w:val="20" w:hRule="atLeast"/>
        </w:trPr>
        <w:tc>
          <w:tcPr>
            <w:tcW w:w="110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№1</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7,38</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0,40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7,350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12,00</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0,40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11,952</w:t>
            </w:r>
          </w:p>
        </w:tc>
      </w:tr>
      <w:tr>
        <w:trPr>
          <w:trHeight w:val="20" w:hRule="atLeast"/>
        </w:trPr>
        <w:tc>
          <w:tcPr>
            <w:tcW w:w="110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№2</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0,20</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0,40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0,199</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0,20</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0,40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0,199</w:t>
            </w:r>
          </w:p>
        </w:tc>
      </w:tr>
      <w:tr>
        <w:trPr>
          <w:trHeight w:val="20" w:hRule="atLeast"/>
        </w:trPr>
        <w:tc>
          <w:tcPr>
            <w:tcW w:w="110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№4</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0,13</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0,40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0,129</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0,13</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0,40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0,129</w:t>
            </w:r>
          </w:p>
        </w:tc>
      </w:tr>
      <w:tr>
        <w:trPr>
          <w:trHeight w:val="20" w:hRule="atLeast"/>
        </w:trPr>
        <w:tc>
          <w:tcPr>
            <w:tcW w:w="110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68"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№5</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5,01</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0,50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4,985</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5,01</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0,50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4,985</w:t>
            </w:r>
          </w:p>
        </w:tc>
      </w:tr>
      <w:tr>
        <w:trPr>
          <w:trHeight w:val="20" w:hRule="atLeast"/>
        </w:trPr>
        <w:tc>
          <w:tcPr>
            <w:tcW w:w="110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№6</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1,46</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0,70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1,450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1,46</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0,70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1,450</w:t>
            </w:r>
          </w:p>
        </w:tc>
      </w:tr>
      <w:tr>
        <w:trPr>
          <w:trHeight w:val="20" w:hRule="atLeast"/>
        </w:trPr>
        <w:tc>
          <w:tcPr>
            <w:tcW w:w="110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№7</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0,73</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FFFF" w:val="clear"/>
            <w:vAlign w:val="bottom"/>
          </w:tcPr>
          <w:p>
            <w:pPr>
              <w:pStyle w:val="Normal"/>
              <w:ind w:hanging="0"/>
              <w:jc w:val="center"/>
              <w:rPr>
                <w:rFonts w:cs="Arial"/>
                <w:color w:val="000000"/>
                <w:w w:val="90"/>
                <w:sz w:val="20"/>
                <w:szCs w:val="20"/>
              </w:rPr>
            </w:pPr>
            <w:r>
              <w:rPr>
                <w:rFonts w:cs="Arial"/>
                <w:color w:val="000000"/>
                <w:w w:val="90"/>
                <w:sz w:val="20"/>
                <w:szCs w:val="20"/>
              </w:rPr>
              <w:t>0,40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0,727</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0,73</w:t>
            </w:r>
          </w:p>
        </w:tc>
        <w:tc>
          <w:tcPr>
            <w:tcW w:w="1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FFFF" w:val="clear"/>
            <w:vAlign w:val="bottom"/>
          </w:tcPr>
          <w:p>
            <w:pPr>
              <w:pStyle w:val="Normal"/>
              <w:ind w:hanging="0"/>
              <w:jc w:val="center"/>
              <w:rPr>
                <w:rFonts w:cs="Arial"/>
                <w:color w:val="000000"/>
                <w:w w:val="90"/>
                <w:sz w:val="20"/>
                <w:szCs w:val="20"/>
              </w:rPr>
            </w:pPr>
            <w:r>
              <w:rPr>
                <w:rFonts w:cs="Arial"/>
                <w:color w:val="000000"/>
                <w:w w:val="90"/>
                <w:sz w:val="20"/>
                <w:szCs w:val="20"/>
              </w:rPr>
              <w:t>0,40</w:t>
            </w:r>
          </w:p>
        </w:tc>
        <w:tc>
          <w:tcPr>
            <w:tcW w:w="141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0,727</w:t>
            </w:r>
          </w:p>
        </w:tc>
      </w:tr>
      <w:tr>
        <w:trPr>
          <w:trHeight w:val="889" w:hRule="atLeast"/>
        </w:trPr>
        <w:tc>
          <w:tcPr>
            <w:tcW w:w="110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8"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ООО «Газпром энерго»</w:t>
            </w:r>
          </w:p>
        </w:tc>
        <w:tc>
          <w:tcPr>
            <w:tcW w:w="141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6,02</w:t>
            </w:r>
          </w:p>
        </w:tc>
        <w:tc>
          <w:tcPr>
            <w:tcW w:w="128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FFFF" w:val="clear"/>
            <w:vAlign w:val="bottom"/>
          </w:tcPr>
          <w:p>
            <w:pPr>
              <w:pStyle w:val="Normal"/>
              <w:ind w:hanging="0"/>
              <w:jc w:val="center"/>
              <w:rPr>
                <w:rFonts w:cs="Arial"/>
                <w:color w:val="000000"/>
                <w:w w:val="90"/>
                <w:sz w:val="20"/>
                <w:szCs w:val="20"/>
              </w:rPr>
            </w:pPr>
            <w:r>
              <w:rPr>
                <w:rFonts w:cs="Arial"/>
                <w:color w:val="000000"/>
                <w:w w:val="90"/>
                <w:sz w:val="20"/>
                <w:szCs w:val="20"/>
              </w:rPr>
              <w:t>5,42</w:t>
            </w:r>
          </w:p>
        </w:tc>
        <w:tc>
          <w:tcPr>
            <w:tcW w:w="141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5,694</w:t>
            </w:r>
          </w:p>
        </w:tc>
        <w:tc>
          <w:tcPr>
            <w:tcW w:w="141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6,02</w:t>
            </w:r>
          </w:p>
        </w:tc>
        <w:tc>
          <w:tcPr>
            <w:tcW w:w="128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FFFF" w:val="clear"/>
            <w:vAlign w:val="bottom"/>
          </w:tcPr>
          <w:p>
            <w:pPr>
              <w:pStyle w:val="Normal"/>
              <w:ind w:hanging="0"/>
              <w:jc w:val="center"/>
              <w:rPr>
                <w:rFonts w:cs="Arial"/>
                <w:color w:val="000000"/>
                <w:w w:val="90"/>
                <w:sz w:val="20"/>
                <w:szCs w:val="20"/>
              </w:rPr>
            </w:pPr>
            <w:r>
              <w:rPr>
                <w:rFonts w:cs="Arial"/>
                <w:color w:val="000000"/>
                <w:w w:val="90"/>
                <w:sz w:val="20"/>
                <w:szCs w:val="20"/>
              </w:rPr>
              <w:t>5,42</w:t>
            </w:r>
          </w:p>
        </w:tc>
        <w:tc>
          <w:tcPr>
            <w:tcW w:w="141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5,694</w:t>
            </w:r>
          </w:p>
        </w:tc>
      </w:tr>
      <w:tr>
        <w:trPr>
          <w:trHeight w:val="513" w:hRule="atLeast"/>
        </w:trPr>
        <w:tc>
          <w:tcPr>
            <w:tcW w:w="110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8"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блочная 0,6 МВт «Больница»</w:t>
            </w:r>
          </w:p>
        </w:tc>
        <w:tc>
          <w:tcPr>
            <w:tcW w:w="141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0,515</w:t>
            </w:r>
          </w:p>
        </w:tc>
        <w:tc>
          <w:tcPr>
            <w:tcW w:w="128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FFFF" w:val="clear"/>
            <w:vAlign w:val="bottom"/>
          </w:tcPr>
          <w:p>
            <w:pPr>
              <w:pStyle w:val="Normal"/>
              <w:ind w:hanging="0"/>
              <w:jc w:val="center"/>
              <w:rPr>
                <w:rFonts w:cs="Arial"/>
                <w:color w:val="000000"/>
                <w:w w:val="90"/>
                <w:sz w:val="20"/>
                <w:szCs w:val="20"/>
              </w:rPr>
            </w:pPr>
            <w:r>
              <w:rPr>
                <w:rFonts w:cs="Arial"/>
                <w:color w:val="000000"/>
                <w:w w:val="90"/>
                <w:sz w:val="20"/>
                <w:szCs w:val="20"/>
              </w:rPr>
              <w:t>0,4</w:t>
            </w:r>
          </w:p>
        </w:tc>
        <w:tc>
          <w:tcPr>
            <w:tcW w:w="141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0,513</w:t>
            </w:r>
          </w:p>
        </w:tc>
        <w:tc>
          <w:tcPr>
            <w:tcW w:w="141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0,515</w:t>
            </w:r>
          </w:p>
        </w:tc>
        <w:tc>
          <w:tcPr>
            <w:tcW w:w="128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FFFF" w:val="clear"/>
            <w:vAlign w:val="bottom"/>
          </w:tcPr>
          <w:p>
            <w:pPr>
              <w:pStyle w:val="Normal"/>
              <w:ind w:hanging="0"/>
              <w:jc w:val="center"/>
              <w:rPr>
                <w:rFonts w:cs="Arial"/>
                <w:color w:val="000000"/>
                <w:w w:val="90"/>
                <w:sz w:val="20"/>
                <w:szCs w:val="20"/>
              </w:rPr>
            </w:pPr>
            <w:r>
              <w:rPr>
                <w:rFonts w:cs="Arial"/>
                <w:color w:val="000000"/>
                <w:w w:val="90"/>
                <w:sz w:val="20"/>
                <w:szCs w:val="20"/>
              </w:rPr>
              <w:t>0,4</w:t>
            </w:r>
          </w:p>
        </w:tc>
        <w:tc>
          <w:tcPr>
            <w:tcW w:w="141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w w:val="90"/>
                <w:sz w:val="20"/>
                <w:szCs w:val="20"/>
              </w:rPr>
            </w:pPr>
            <w:r>
              <w:rPr>
                <w:rFonts w:cs="Arial"/>
                <w:color w:val="000000"/>
                <w:w w:val="90"/>
                <w:sz w:val="20"/>
                <w:szCs w:val="20"/>
              </w:rPr>
              <w:t>0,513</w:t>
            </w:r>
          </w:p>
        </w:tc>
      </w:tr>
    </w:tbl>
    <w:p>
      <w:pPr>
        <w:pStyle w:val="Normal"/>
        <w:rPr>
          <w:rFonts w:eastAsia="MS Mincho" w:cs="Arial"/>
          <w:szCs w:val="26"/>
        </w:rPr>
      </w:pPr>
      <w:r>
        <w:rPr>
          <w:rFonts w:eastAsia="MS Mincho" w:cs="Arial"/>
          <w:szCs w:val="26"/>
        </w:rPr>
      </w:r>
    </w:p>
    <w:p>
      <w:pPr>
        <w:pStyle w:val="Normal"/>
        <w:numPr>
          <w:ilvl w:val="1"/>
          <w:numId w:val="1"/>
        </w:numPr>
        <w:ind w:left="0" w:hanging="0"/>
        <w:jc w:val="center"/>
        <w:outlineLvl w:val="1"/>
        <w:rPr>
          <w:rFonts w:cs="Arial"/>
          <w:b/>
          <w:b/>
          <w:szCs w:val="26"/>
          <w:lang w:val="ru-RU" w:eastAsia="ru-RU"/>
        </w:rPr>
      </w:pPr>
      <w:bookmarkStart w:id="35" w:name="_Toc397084937"/>
      <w:bookmarkStart w:id="36" w:name="_Toc398022662"/>
      <w:bookmarkEnd w:id="35"/>
      <w:bookmarkEnd w:id="36"/>
      <w:r>
        <w:rPr>
          <w:rFonts w:cs="Arial"/>
          <w:b/>
          <w:szCs w:val="26"/>
          <w:lang w:val="ru-RU" w:eastAsia="ru-RU"/>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pPr>
        <w:pStyle w:val="Normal"/>
        <w:suppressLineNumbers/>
        <w:suppressAutoHyphens w:val="true"/>
        <w:textAlignment w:val="baseline"/>
        <w:rPr>
          <w:rFonts w:eastAsia="MS Mincho" w:cs="Arial"/>
          <w:iCs/>
          <w:szCs w:val="26"/>
          <w:lang w:val="ru-RU" w:eastAsia="zh-CN"/>
        </w:rPr>
      </w:pPr>
      <w:r>
        <w:rPr>
          <w:rFonts w:eastAsia="MS Mincho" w:cs="Arial"/>
          <w:iCs/>
          <w:szCs w:val="26"/>
          <w:lang w:val="ru-RU" w:eastAsia="zh-CN"/>
        </w:rPr>
      </w:r>
    </w:p>
    <w:p>
      <w:pPr>
        <w:pStyle w:val="Normal"/>
        <w:suppressLineNumbers/>
        <w:suppressAutoHyphens w:val="true"/>
        <w:textAlignment w:val="baseline"/>
        <w:rPr/>
      </w:pPr>
      <w:r>
        <w:rPr>
          <w:rFonts w:eastAsia="MS Mincho" w:cs="Arial"/>
          <w:iCs/>
          <w:szCs w:val="26"/>
          <w:lang w:val="ru-RU" w:eastAsia="zh-CN"/>
        </w:rPr>
        <w:t xml:space="preserve">Данные приведены в </w:t>
      </w:r>
      <w:r>
        <w:rPr>
          <w:rFonts w:eastAsia="MS Mincho" w:cs="Arial"/>
          <w:iCs/>
          <w:szCs w:val="26"/>
          <w:lang w:val="ru-RU" w:eastAsia="zh-CN"/>
        </w:rPr>
        <w:fldChar w:fldCharType="begin"/>
      </w:r>
      <w:r>
        <w:instrText> REF _Ref397076330 \h </w:instrText>
      </w:r>
      <w:r>
        <w:fldChar w:fldCharType="separate"/>
      </w:r>
      <w:r>
        <w:t>Таблица 10</w:t>
      </w:r>
      <w:r>
        <w:fldChar w:fldCharType="end"/>
      </w:r>
      <w:r>
        <w:rPr>
          <w:rFonts w:eastAsia="MS Mincho" w:cs="Arial"/>
          <w:iCs/>
          <w:szCs w:val="26"/>
          <w:lang w:val="ru-RU" w:eastAsia="zh-CN"/>
        </w:rPr>
        <w:t>.</w:t>
      </w:r>
    </w:p>
    <w:p>
      <w:pPr>
        <w:pStyle w:val="Normal"/>
        <w:suppressLineNumbers/>
        <w:suppressAutoHyphens w:val="true"/>
        <w:textAlignment w:val="baseline"/>
        <w:rPr/>
      </w:pPr>
      <w:bookmarkStart w:id="37" w:name="_Ref397076330"/>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10</w:t>
      </w:r>
      <w:r>
        <w:fldChar w:fldCharType="end"/>
      </w:r>
      <w:bookmarkEnd w:id="37"/>
      <w:r>
        <w:rPr>
          <w:rFonts w:cs="Arial"/>
          <w:iCs/>
          <w:szCs w:val="26"/>
          <w:lang w:val="ru-RU" w:eastAsia="zh-CN"/>
        </w:rPr>
        <w:t xml:space="preserve"> – </w:t>
      </w:r>
      <w:r>
        <w:rPr>
          <w:rFonts w:eastAsia="MS Mincho" w:cs="Arial"/>
          <w:iCs/>
          <w:szCs w:val="26"/>
          <w:lang w:val="ru-RU" w:eastAsia="zh-CN"/>
        </w:rPr>
        <w:t>Значения существующих (</w:t>
      </w:r>
      <w:r>
        <w:rPr>
          <w:rFonts w:cs="Arial"/>
          <w:iCs/>
          <w:szCs w:val="26"/>
          <w:lang w:val="ru-RU" w:eastAsia="zh-CN"/>
        </w:rPr>
        <w:t>соответствуют значениям первой очереди (2015-2020г)</w:t>
      </w:r>
      <w:r>
        <w:rPr>
          <w:rFonts w:eastAsia="MS Mincho" w:cs="Arial"/>
          <w:iCs/>
          <w:szCs w:val="26"/>
          <w:lang w:val="ru-RU" w:eastAsia="zh-CN"/>
        </w:rPr>
        <w:t>)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pPr>
        <w:pStyle w:val="Normal"/>
        <w:suppressLineNumbers/>
        <w:suppressAutoHyphens w:val="true"/>
        <w:textAlignment w:val="baseline"/>
        <w:rPr>
          <w:rFonts w:eastAsia="MS Mincho" w:cs="Arial"/>
          <w:iCs/>
          <w:szCs w:val="26"/>
          <w:lang w:val="ru-RU" w:eastAsia="zh-CN"/>
        </w:rPr>
      </w:pPr>
      <w:r>
        <w:rPr>
          <w:rFonts w:eastAsia="MS Mincho" w:cs="Arial"/>
          <w:iCs/>
          <w:szCs w:val="26"/>
          <w:lang w:val="ru-RU" w:eastAsia="zh-CN"/>
        </w:rPr>
      </w:r>
    </w:p>
    <w:tbl>
      <w:tblPr>
        <w:tblW w:w="5000" w:type="pct"/>
        <w:jc w:val="left"/>
        <w:tblInd w:w="-30"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0" w:type="dxa"/>
          <w:left w:w="68" w:type="dxa"/>
          <w:bottom w:w="0" w:type="dxa"/>
          <w:right w:w="108" w:type="dxa"/>
        </w:tblCellMar>
        <w:tblLook w:val="04a0"/>
      </w:tblPr>
      <w:tblGrid>
        <w:gridCol w:w="997"/>
        <w:gridCol w:w="1507"/>
        <w:gridCol w:w="958"/>
        <w:gridCol w:w="1713"/>
        <w:gridCol w:w="1509"/>
        <w:gridCol w:w="958"/>
        <w:gridCol w:w="1711"/>
      </w:tblGrid>
      <w:tr>
        <w:trPr>
          <w:tblHeader w:val="true"/>
          <w:trHeight w:val="170" w:hRule="atLeast"/>
        </w:trPr>
        <w:tc>
          <w:tcPr>
            <w:tcW w:w="997"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000000" w:fill="E5DFEC" w:val="clear"/>
            <w:tcMar>
              <w:left w:w="68" w:type="dxa"/>
            </w:tcMar>
            <w:vAlign w:val="bottom"/>
          </w:tcPr>
          <w:p>
            <w:pPr>
              <w:pStyle w:val="Normal"/>
              <w:ind w:hanging="0"/>
              <w:jc w:val="center"/>
              <w:rPr>
                <w:rFonts w:cs="Arial"/>
                <w:b/>
                <w:b/>
                <w:bCs/>
                <w:color w:val="000000"/>
                <w:sz w:val="20"/>
                <w:szCs w:val="20"/>
              </w:rPr>
            </w:pPr>
            <w:r>
              <w:rPr>
                <w:rFonts w:cs="Arial"/>
                <w:b/>
                <w:bCs/>
                <w:color w:val="000000"/>
                <w:sz w:val="20"/>
                <w:szCs w:val="20"/>
              </w:rPr>
              <w:t>Источник</w:t>
            </w:r>
          </w:p>
        </w:tc>
        <w:tc>
          <w:tcPr>
            <w:tcW w:w="4178"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color="000000" w:fill="E5E0EC" w:val="clear"/>
            <w:vAlign w:val="bottom"/>
          </w:tcPr>
          <w:p>
            <w:pPr>
              <w:pStyle w:val="Normal"/>
              <w:ind w:hanging="0"/>
              <w:jc w:val="center"/>
              <w:rPr>
                <w:rFonts w:cs="Arial"/>
                <w:b/>
                <w:b/>
                <w:bCs/>
                <w:color w:val="000000"/>
                <w:sz w:val="20"/>
                <w:szCs w:val="20"/>
              </w:rPr>
            </w:pPr>
            <w:r>
              <w:rPr>
                <w:rFonts w:cs="Arial"/>
                <w:b/>
                <w:bCs/>
                <w:color w:val="000000"/>
                <w:sz w:val="20"/>
                <w:szCs w:val="20"/>
              </w:rPr>
              <w:t>Первая очередь (2015-2020г)</w:t>
            </w:r>
          </w:p>
        </w:tc>
        <w:tc>
          <w:tcPr>
            <w:tcW w:w="4178" w:type="dxa"/>
            <w:gridSpan w:val="3"/>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000000" w:fill="E5DFEC"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Расчетный срок (2021-2030г)</w:t>
            </w:r>
          </w:p>
        </w:tc>
      </w:tr>
      <w:tr>
        <w:trPr>
          <w:tblHeader w:val="true"/>
          <w:trHeight w:val="170" w:hRule="atLeast"/>
        </w:trPr>
        <w:tc>
          <w:tcPr>
            <w:tcW w:w="997"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center"/>
          </w:tcPr>
          <w:p>
            <w:pPr>
              <w:pStyle w:val="Normal"/>
              <w:ind w:hanging="0"/>
              <w:jc w:val="left"/>
              <w:rPr>
                <w:rFonts w:cs="Arial"/>
                <w:b/>
                <w:b/>
                <w:bCs/>
                <w:color w:val="000000"/>
                <w:sz w:val="20"/>
                <w:szCs w:val="20"/>
              </w:rPr>
            </w:pPr>
            <w:r>
              <w:rPr>
                <w:rFonts w:cs="Arial"/>
                <w:b/>
                <w:bCs/>
                <w:color w:val="000000"/>
                <w:sz w:val="20"/>
                <w:szCs w:val="20"/>
              </w:rPr>
            </w:r>
          </w:p>
        </w:tc>
        <w:tc>
          <w:tcPr>
            <w:tcW w:w="150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sz w:val="20"/>
                <w:szCs w:val="20"/>
              </w:rPr>
            </w:pPr>
            <w:r>
              <w:rPr>
                <w:rFonts w:cs="Arial"/>
                <w:b/>
                <w:bCs/>
                <w:color w:val="000000"/>
                <w:sz w:val="20"/>
                <w:szCs w:val="20"/>
              </w:rPr>
              <w:t>Присоединенная нагрузка, Гкал/ч</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sz w:val="20"/>
                <w:szCs w:val="20"/>
              </w:rPr>
            </w:pPr>
            <w:r>
              <w:rPr>
                <w:rFonts w:cs="Arial"/>
                <w:b/>
                <w:bCs/>
                <w:color w:val="000000"/>
                <w:sz w:val="20"/>
                <w:szCs w:val="20"/>
              </w:rPr>
              <w:t>Потери в тепловых сетях, %</w:t>
            </w:r>
          </w:p>
        </w:tc>
        <w:tc>
          <w:tcPr>
            <w:tcW w:w="171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Затраты теплоносителя на компенсаципотерь, Гкал/ч</w:t>
            </w:r>
          </w:p>
        </w:tc>
        <w:tc>
          <w:tcPr>
            <w:tcW w:w="1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sz w:val="20"/>
                <w:szCs w:val="20"/>
              </w:rPr>
            </w:pPr>
            <w:r>
              <w:rPr>
                <w:rFonts w:cs="Arial"/>
                <w:b/>
                <w:bCs/>
                <w:color w:val="000000"/>
                <w:sz w:val="20"/>
                <w:szCs w:val="20"/>
              </w:rPr>
              <w:t>Присоединенная нагрузка, Гкал/ч</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sz w:val="20"/>
                <w:szCs w:val="20"/>
              </w:rPr>
            </w:pPr>
            <w:r>
              <w:rPr>
                <w:rFonts w:cs="Arial"/>
                <w:b/>
                <w:bCs/>
                <w:color w:val="000000"/>
                <w:sz w:val="20"/>
                <w:szCs w:val="20"/>
              </w:rPr>
              <w:t>Потери в тепловых сетях, %</w:t>
            </w:r>
          </w:p>
        </w:tc>
        <w:tc>
          <w:tcPr>
            <w:tcW w:w="171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Затраты теплоносителя на компенсаципотерь, Гкал/ч</w:t>
            </w:r>
          </w:p>
        </w:tc>
      </w:tr>
      <w:tr>
        <w:trPr>
          <w:trHeight w:val="170" w:hRule="atLeast"/>
        </w:trPr>
        <w:tc>
          <w:tcPr>
            <w:tcW w:w="99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№1</w:t>
            </w:r>
          </w:p>
        </w:tc>
        <w:tc>
          <w:tcPr>
            <w:tcW w:w="150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5,45</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8,00</w:t>
            </w:r>
          </w:p>
        </w:tc>
        <w:tc>
          <w:tcPr>
            <w:tcW w:w="171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0,436</w:t>
            </w:r>
          </w:p>
        </w:tc>
        <w:tc>
          <w:tcPr>
            <w:tcW w:w="1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5,45</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5,00</w:t>
            </w:r>
          </w:p>
        </w:tc>
        <w:tc>
          <w:tcPr>
            <w:tcW w:w="171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0,272</w:t>
            </w:r>
          </w:p>
        </w:tc>
      </w:tr>
      <w:tr>
        <w:trPr>
          <w:trHeight w:val="170" w:hRule="atLeast"/>
        </w:trPr>
        <w:tc>
          <w:tcPr>
            <w:tcW w:w="99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№2</w:t>
            </w:r>
          </w:p>
        </w:tc>
        <w:tc>
          <w:tcPr>
            <w:tcW w:w="150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0,06</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10,00</w:t>
            </w:r>
          </w:p>
        </w:tc>
        <w:tc>
          <w:tcPr>
            <w:tcW w:w="171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0,006</w:t>
            </w:r>
          </w:p>
        </w:tc>
        <w:tc>
          <w:tcPr>
            <w:tcW w:w="1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0,06</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5,00</w:t>
            </w:r>
          </w:p>
        </w:tc>
        <w:tc>
          <w:tcPr>
            <w:tcW w:w="171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firstLine="474"/>
              <w:jc w:val="center"/>
              <w:rPr>
                <w:rFonts w:cs="Arial"/>
                <w:color w:val="000000"/>
                <w:sz w:val="20"/>
                <w:szCs w:val="20"/>
              </w:rPr>
            </w:pPr>
            <w:r>
              <w:rPr>
                <w:rFonts w:cs="Arial"/>
                <w:color w:val="000000"/>
                <w:sz w:val="20"/>
                <w:szCs w:val="20"/>
              </w:rPr>
              <w:t>0,003</w:t>
            </w:r>
          </w:p>
        </w:tc>
      </w:tr>
      <w:tr>
        <w:trPr>
          <w:trHeight w:val="170" w:hRule="atLeast"/>
        </w:trPr>
        <w:tc>
          <w:tcPr>
            <w:tcW w:w="99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№4</w:t>
            </w:r>
          </w:p>
        </w:tc>
        <w:tc>
          <w:tcPr>
            <w:tcW w:w="150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0,10</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10,00</w:t>
            </w:r>
          </w:p>
        </w:tc>
        <w:tc>
          <w:tcPr>
            <w:tcW w:w="171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0,010</w:t>
            </w:r>
          </w:p>
        </w:tc>
        <w:tc>
          <w:tcPr>
            <w:tcW w:w="1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0,10</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5,00</w:t>
            </w:r>
          </w:p>
        </w:tc>
        <w:tc>
          <w:tcPr>
            <w:tcW w:w="171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0,005</w:t>
            </w:r>
          </w:p>
        </w:tc>
      </w:tr>
      <w:tr>
        <w:trPr>
          <w:trHeight w:val="170" w:hRule="atLeast"/>
        </w:trPr>
        <w:tc>
          <w:tcPr>
            <w:tcW w:w="99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№5</w:t>
            </w:r>
          </w:p>
        </w:tc>
        <w:tc>
          <w:tcPr>
            <w:tcW w:w="150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1,59</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10,00</w:t>
            </w:r>
          </w:p>
        </w:tc>
        <w:tc>
          <w:tcPr>
            <w:tcW w:w="171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0,159</w:t>
            </w:r>
          </w:p>
        </w:tc>
        <w:tc>
          <w:tcPr>
            <w:tcW w:w="1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1,59</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5,00</w:t>
            </w:r>
          </w:p>
        </w:tc>
        <w:tc>
          <w:tcPr>
            <w:tcW w:w="171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0,080</w:t>
            </w:r>
          </w:p>
        </w:tc>
      </w:tr>
      <w:tr>
        <w:trPr>
          <w:trHeight w:val="170" w:hRule="atLeast"/>
        </w:trPr>
        <w:tc>
          <w:tcPr>
            <w:tcW w:w="99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№6</w:t>
            </w:r>
          </w:p>
        </w:tc>
        <w:tc>
          <w:tcPr>
            <w:tcW w:w="150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0,45</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10,00</w:t>
            </w:r>
          </w:p>
        </w:tc>
        <w:tc>
          <w:tcPr>
            <w:tcW w:w="171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0,045</w:t>
            </w:r>
          </w:p>
        </w:tc>
        <w:tc>
          <w:tcPr>
            <w:tcW w:w="1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0,45</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5,00</w:t>
            </w:r>
          </w:p>
        </w:tc>
        <w:tc>
          <w:tcPr>
            <w:tcW w:w="171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0,023</w:t>
            </w:r>
          </w:p>
        </w:tc>
      </w:tr>
      <w:tr>
        <w:trPr>
          <w:trHeight w:val="170" w:hRule="atLeast"/>
        </w:trPr>
        <w:tc>
          <w:tcPr>
            <w:tcW w:w="99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№7</w:t>
            </w:r>
          </w:p>
        </w:tc>
        <w:tc>
          <w:tcPr>
            <w:tcW w:w="150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0,04</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FFFF" w:val="clear"/>
            <w:vAlign w:val="bottom"/>
          </w:tcPr>
          <w:p>
            <w:pPr>
              <w:pStyle w:val="Normal"/>
              <w:ind w:hanging="0"/>
              <w:jc w:val="center"/>
              <w:rPr>
                <w:rFonts w:cs="Arial"/>
                <w:color w:val="000000"/>
                <w:sz w:val="20"/>
                <w:szCs w:val="20"/>
              </w:rPr>
            </w:pPr>
            <w:r>
              <w:rPr>
                <w:rFonts w:cs="Arial"/>
                <w:color w:val="000000"/>
                <w:sz w:val="20"/>
                <w:szCs w:val="20"/>
              </w:rPr>
              <w:t>10,00</w:t>
            </w:r>
          </w:p>
        </w:tc>
        <w:tc>
          <w:tcPr>
            <w:tcW w:w="171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0,004</w:t>
            </w:r>
          </w:p>
        </w:tc>
        <w:tc>
          <w:tcPr>
            <w:tcW w:w="1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0,04</w:t>
            </w:r>
          </w:p>
        </w:tc>
        <w:tc>
          <w:tcPr>
            <w:tcW w:w="95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FFFF" w:val="clear"/>
            <w:vAlign w:val="bottom"/>
          </w:tcPr>
          <w:p>
            <w:pPr>
              <w:pStyle w:val="Normal"/>
              <w:ind w:hanging="0"/>
              <w:jc w:val="center"/>
              <w:rPr>
                <w:rFonts w:cs="Arial"/>
                <w:color w:val="000000"/>
                <w:sz w:val="20"/>
                <w:szCs w:val="20"/>
              </w:rPr>
            </w:pPr>
            <w:r>
              <w:rPr>
                <w:rFonts w:cs="Arial"/>
                <w:color w:val="000000"/>
                <w:sz w:val="20"/>
                <w:szCs w:val="20"/>
              </w:rPr>
              <w:t>5,00</w:t>
            </w:r>
          </w:p>
        </w:tc>
        <w:tc>
          <w:tcPr>
            <w:tcW w:w="171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0,002</w:t>
            </w:r>
          </w:p>
        </w:tc>
      </w:tr>
      <w:tr>
        <w:trPr>
          <w:trHeight w:val="170" w:hRule="atLeast"/>
        </w:trPr>
        <w:tc>
          <w:tcPr>
            <w:tcW w:w="99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ООО «Газпром энерго»</w:t>
            </w:r>
          </w:p>
        </w:tc>
        <w:tc>
          <w:tcPr>
            <w:tcW w:w="150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0,36</w:t>
            </w:r>
          </w:p>
        </w:tc>
        <w:tc>
          <w:tcPr>
            <w:tcW w:w="958"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FFFF" w:val="clear"/>
            <w:vAlign w:val="bottom"/>
          </w:tcPr>
          <w:p>
            <w:pPr>
              <w:pStyle w:val="Normal"/>
              <w:ind w:hanging="0"/>
              <w:jc w:val="center"/>
              <w:rPr>
                <w:rFonts w:cs="Arial"/>
                <w:color w:val="000000"/>
                <w:sz w:val="20"/>
                <w:szCs w:val="20"/>
              </w:rPr>
            </w:pPr>
            <w:r>
              <w:rPr>
                <w:rFonts w:cs="Arial"/>
                <w:color w:val="000000"/>
                <w:sz w:val="20"/>
                <w:szCs w:val="20"/>
              </w:rPr>
              <w:t>- </w:t>
            </w:r>
          </w:p>
        </w:tc>
        <w:tc>
          <w:tcPr>
            <w:tcW w:w="171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 </w:t>
            </w:r>
          </w:p>
        </w:tc>
        <w:tc>
          <w:tcPr>
            <w:tcW w:w="150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0,36</w:t>
            </w:r>
          </w:p>
        </w:tc>
        <w:tc>
          <w:tcPr>
            <w:tcW w:w="958"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FFFF" w:val="clear"/>
            <w:vAlign w:val="bottom"/>
          </w:tcPr>
          <w:p>
            <w:pPr>
              <w:pStyle w:val="Normal"/>
              <w:ind w:hanging="0"/>
              <w:jc w:val="center"/>
              <w:rPr>
                <w:rFonts w:cs="Arial"/>
                <w:color w:val="000000"/>
                <w:sz w:val="20"/>
                <w:szCs w:val="20"/>
              </w:rPr>
            </w:pPr>
            <w:r>
              <w:rPr>
                <w:rFonts w:cs="Arial"/>
                <w:color w:val="000000"/>
                <w:sz w:val="20"/>
                <w:szCs w:val="20"/>
              </w:rPr>
              <w:t>- </w:t>
            </w:r>
          </w:p>
        </w:tc>
        <w:tc>
          <w:tcPr>
            <w:tcW w:w="1711"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FFFF" w:val="clear"/>
            <w:vAlign w:val="bottom"/>
          </w:tcPr>
          <w:p>
            <w:pPr>
              <w:pStyle w:val="Normal"/>
              <w:ind w:hanging="0"/>
              <w:jc w:val="center"/>
              <w:rPr>
                <w:rFonts w:cs="Arial"/>
                <w:color w:val="000000"/>
                <w:sz w:val="20"/>
                <w:szCs w:val="20"/>
              </w:rPr>
            </w:pPr>
            <w:r>
              <w:rPr>
                <w:rFonts w:cs="Arial"/>
                <w:color w:val="000000"/>
                <w:sz w:val="20"/>
                <w:szCs w:val="20"/>
              </w:rPr>
              <w:t>- </w:t>
            </w:r>
          </w:p>
        </w:tc>
      </w:tr>
      <w:tr>
        <w:trPr>
          <w:trHeight w:val="170" w:hRule="atLeast"/>
        </w:trPr>
        <w:tc>
          <w:tcPr>
            <w:tcW w:w="9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bottom"/>
          </w:tcPr>
          <w:p>
            <w:pPr>
              <w:pStyle w:val="Normal"/>
              <w:ind w:hanging="0"/>
              <w:jc w:val="left"/>
              <w:rPr>
                <w:rFonts w:cs="Arial"/>
                <w:color w:val="000000"/>
                <w:sz w:val="20"/>
                <w:szCs w:val="20"/>
              </w:rPr>
            </w:pPr>
            <w:r>
              <w:rPr>
                <w:rFonts w:cs="Arial"/>
                <w:color w:val="000000"/>
                <w:w w:val="90"/>
                <w:sz w:val="20"/>
                <w:szCs w:val="20"/>
              </w:rPr>
              <w:t>Котельная блочная 0,6 МВт «Больница»</w:t>
            </w:r>
          </w:p>
        </w:tc>
        <w:tc>
          <w:tcPr>
            <w:tcW w:w="150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bottom"/>
          </w:tcPr>
          <w:p>
            <w:pPr>
              <w:pStyle w:val="Normal"/>
              <w:ind w:hanging="0"/>
              <w:jc w:val="center"/>
              <w:rPr>
                <w:rFonts w:cs="Arial"/>
                <w:color w:val="000000"/>
                <w:sz w:val="20"/>
                <w:szCs w:val="20"/>
              </w:rPr>
            </w:pPr>
            <w:r>
              <w:rPr>
                <w:rFonts w:cs="Arial"/>
                <w:color w:val="000000"/>
                <w:sz w:val="20"/>
                <w:szCs w:val="20"/>
              </w:rPr>
              <w:t>0,4</w:t>
            </w:r>
          </w:p>
        </w:tc>
        <w:tc>
          <w:tcPr>
            <w:tcW w:w="9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88" w:type="dxa"/>
            </w:tcMar>
            <w:vAlign w:val="bottom"/>
          </w:tcPr>
          <w:p>
            <w:pPr>
              <w:pStyle w:val="Normal"/>
              <w:ind w:hanging="0"/>
              <w:jc w:val="center"/>
              <w:rPr>
                <w:rFonts w:cs="Arial"/>
                <w:color w:val="000000"/>
                <w:sz w:val="20"/>
                <w:szCs w:val="20"/>
              </w:rPr>
            </w:pPr>
            <w:r>
              <w:rPr>
                <w:rFonts w:cs="Arial"/>
                <w:color w:val="000000"/>
                <w:sz w:val="20"/>
                <w:szCs w:val="20"/>
              </w:rPr>
              <w:t>5,00</w:t>
            </w:r>
          </w:p>
        </w:tc>
        <w:tc>
          <w:tcPr>
            <w:tcW w:w="171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bottom"/>
          </w:tcPr>
          <w:p>
            <w:pPr>
              <w:pStyle w:val="Normal"/>
              <w:ind w:hanging="0"/>
              <w:jc w:val="center"/>
              <w:rPr>
                <w:rFonts w:cs="Arial"/>
                <w:color w:val="000000"/>
                <w:sz w:val="20"/>
                <w:szCs w:val="20"/>
              </w:rPr>
            </w:pPr>
            <w:r>
              <w:rPr>
                <w:rFonts w:cs="Arial"/>
                <w:color w:val="000000"/>
                <w:sz w:val="20"/>
                <w:szCs w:val="20"/>
              </w:rPr>
              <w:t>0,025</w:t>
            </w:r>
          </w:p>
        </w:tc>
        <w:tc>
          <w:tcPr>
            <w:tcW w:w="15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bottom"/>
          </w:tcPr>
          <w:p>
            <w:pPr>
              <w:pStyle w:val="Normal"/>
              <w:ind w:hanging="0"/>
              <w:jc w:val="center"/>
              <w:rPr>
                <w:rFonts w:cs="Arial"/>
                <w:color w:val="000000"/>
                <w:sz w:val="20"/>
                <w:szCs w:val="20"/>
              </w:rPr>
            </w:pPr>
            <w:r>
              <w:rPr>
                <w:rFonts w:cs="Arial"/>
                <w:color w:val="000000"/>
                <w:sz w:val="20"/>
                <w:szCs w:val="20"/>
              </w:rPr>
              <w:t>0,515</w:t>
            </w:r>
          </w:p>
        </w:tc>
        <w:tc>
          <w:tcPr>
            <w:tcW w:w="9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88" w:type="dxa"/>
            </w:tcMar>
            <w:vAlign w:val="bottom"/>
          </w:tcPr>
          <w:p>
            <w:pPr>
              <w:pStyle w:val="Normal"/>
              <w:ind w:hanging="0"/>
              <w:jc w:val="center"/>
              <w:rPr>
                <w:rFonts w:cs="Arial"/>
                <w:color w:val="000000"/>
                <w:sz w:val="20"/>
                <w:szCs w:val="20"/>
              </w:rPr>
            </w:pPr>
            <w:r>
              <w:rPr>
                <w:rFonts w:cs="Arial"/>
                <w:color w:val="000000"/>
                <w:sz w:val="20"/>
                <w:szCs w:val="20"/>
              </w:rPr>
              <w:t>5,00</w:t>
            </w:r>
          </w:p>
        </w:tc>
        <w:tc>
          <w:tcPr>
            <w:tcW w:w="17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88" w:type="dxa"/>
            </w:tcMar>
            <w:vAlign w:val="bottom"/>
          </w:tcPr>
          <w:p>
            <w:pPr>
              <w:pStyle w:val="Normal"/>
              <w:ind w:hanging="0"/>
              <w:jc w:val="center"/>
              <w:rPr>
                <w:rFonts w:cs="Arial"/>
                <w:color w:val="000000"/>
                <w:sz w:val="20"/>
                <w:szCs w:val="20"/>
              </w:rPr>
            </w:pPr>
            <w:r>
              <w:rPr>
                <w:rFonts w:cs="Arial"/>
                <w:color w:val="000000"/>
                <w:sz w:val="20"/>
                <w:szCs w:val="20"/>
              </w:rPr>
              <w:t>0,025</w:t>
            </w:r>
          </w:p>
        </w:tc>
      </w:tr>
    </w:tbl>
    <w:p>
      <w:pPr>
        <w:pStyle w:val="Normal"/>
        <w:numPr>
          <w:ilvl w:val="0"/>
          <w:numId w:val="0"/>
        </w:numPr>
        <w:ind w:hanging="0"/>
        <w:outlineLvl w:val="1"/>
        <w:rPr>
          <w:rFonts w:cs="Arial"/>
          <w:b/>
          <w:b/>
          <w:szCs w:val="26"/>
          <w:lang w:val="ru-RU" w:eastAsia="ru-RU"/>
        </w:rPr>
      </w:pPr>
      <w:r>
        <w:rPr>
          <w:rFonts w:cs="Arial"/>
          <w:b/>
          <w:szCs w:val="26"/>
          <w:lang w:val="ru-RU" w:eastAsia="ru-RU"/>
        </w:rPr>
      </w:r>
    </w:p>
    <w:p>
      <w:pPr>
        <w:pStyle w:val="Normal"/>
        <w:numPr>
          <w:ilvl w:val="1"/>
          <w:numId w:val="1"/>
        </w:numPr>
        <w:ind w:left="0" w:hanging="0"/>
        <w:jc w:val="center"/>
        <w:outlineLvl w:val="1"/>
        <w:rPr>
          <w:rFonts w:cs="Arial"/>
          <w:b/>
          <w:b/>
          <w:szCs w:val="26"/>
          <w:lang w:val="ru-RU" w:eastAsia="ru-RU"/>
        </w:rPr>
      </w:pPr>
      <w:r>
        <w:rPr>
          <w:rFonts w:cs="Arial"/>
          <w:b/>
          <w:szCs w:val="26"/>
          <w:lang w:val="ru-RU" w:eastAsia="ru-RU"/>
        </w:rPr>
        <w:t>Затраты существующей и перспективной тепловой мощности на хозяйственные нужды тепловых сетей</w:t>
      </w:r>
    </w:p>
    <w:p>
      <w:pPr>
        <w:pStyle w:val="Normal"/>
        <w:rPr>
          <w:rFonts w:eastAsia="MS Mincho" w:cs="Arial"/>
          <w:szCs w:val="26"/>
          <w:lang w:val="ru-RU"/>
        </w:rPr>
      </w:pPr>
      <w:r>
        <w:rPr>
          <w:rFonts w:eastAsia="MS Mincho" w:cs="Arial"/>
          <w:szCs w:val="26"/>
          <w:lang w:val="ru-RU"/>
        </w:rPr>
        <w:t>Данные по затратам существующей и перспективной тепловой мощности на хозяйственные нужды тепловых сетей отсутствуют (не предоставлены).</w:t>
      </w:r>
    </w:p>
    <w:p>
      <w:pPr>
        <w:pStyle w:val="Normal"/>
        <w:rPr>
          <w:rFonts w:eastAsia="MS Mincho" w:cs="Arial"/>
          <w:szCs w:val="26"/>
          <w:lang w:val="ru-RU"/>
        </w:rPr>
      </w:pPr>
      <w:r>
        <w:rPr>
          <w:rFonts w:eastAsia="MS Mincho" w:cs="Arial"/>
          <w:szCs w:val="26"/>
          <w:lang w:val="ru-RU"/>
        </w:rPr>
      </w:r>
    </w:p>
    <w:p>
      <w:pPr>
        <w:pStyle w:val="Normal"/>
        <w:numPr>
          <w:ilvl w:val="1"/>
          <w:numId w:val="1"/>
        </w:numPr>
        <w:ind w:left="0" w:hanging="576"/>
        <w:jc w:val="center"/>
        <w:outlineLvl w:val="1"/>
        <w:rPr>
          <w:rFonts w:cs="Arial"/>
          <w:b/>
          <w:b/>
          <w:szCs w:val="26"/>
          <w:lang w:val="ru-RU" w:eastAsia="ru-RU"/>
        </w:rPr>
      </w:pPr>
      <w:bookmarkStart w:id="38" w:name="_Toc397084939"/>
      <w:bookmarkStart w:id="39" w:name="_Toc398022664"/>
      <w:bookmarkEnd w:id="38"/>
      <w:bookmarkEnd w:id="39"/>
      <w:r>
        <w:rPr>
          <w:rFonts w:cs="Arial"/>
          <w:b/>
          <w:szCs w:val="26"/>
          <w:lang w:val="ru-RU"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pPr>
        <w:pStyle w:val="Normal"/>
        <w:suppressLineNumbers/>
        <w:suppressAutoHyphens w:val="true"/>
        <w:textAlignment w:val="baseline"/>
        <w:rPr>
          <w:rFonts w:cs="Arial"/>
          <w:iCs/>
          <w:szCs w:val="26"/>
          <w:lang w:val="ru-RU" w:eastAsia="zh-CN"/>
        </w:rPr>
      </w:pPr>
      <w:r>
        <w:rPr>
          <w:rFonts w:cs="Arial"/>
          <w:iCs/>
          <w:szCs w:val="26"/>
          <w:lang w:val="ru-RU" w:eastAsia="zh-CN"/>
        </w:rPr>
      </w:r>
    </w:p>
    <w:p>
      <w:pPr>
        <w:pStyle w:val="Normal"/>
        <w:suppressLineNumbers/>
        <w:suppressAutoHyphens w:val="true"/>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11</w:t>
      </w:r>
      <w:r>
        <w:fldChar w:fldCharType="end"/>
      </w:r>
      <w:r>
        <w:rPr>
          <w:rFonts w:cs="Arial"/>
          <w:iCs/>
          <w:szCs w:val="26"/>
          <w:lang w:val="ru-RU" w:eastAsia="zh-CN"/>
        </w:rPr>
        <w:t xml:space="preserve"> – </w:t>
      </w:r>
      <w:r>
        <w:rPr>
          <w:rFonts w:eastAsia="MS Mincho" w:cs="Arial"/>
          <w:iCs/>
          <w:szCs w:val="26"/>
          <w:lang w:val="ru-RU" w:eastAsia="zh-CN"/>
        </w:rPr>
        <w:t>Значения существующей (</w:t>
      </w:r>
      <w:r>
        <w:rPr>
          <w:rFonts w:cs="Arial"/>
          <w:iCs/>
          <w:szCs w:val="26"/>
          <w:lang w:val="ru-RU" w:eastAsia="zh-CN"/>
        </w:rPr>
        <w:t>соответствуют значениям первой очереди (2015-2020г)</w:t>
      </w:r>
      <w:r>
        <w:rPr>
          <w:rFonts w:eastAsia="MS Mincho" w:cs="Arial"/>
          <w:iCs/>
          <w:szCs w:val="26"/>
          <w:lang w:val="ru-RU" w:eastAsia="zh-CN"/>
        </w:rPr>
        <w:t>) и перспективной резервной тепловой мощности источников теплоснабжения</w:t>
      </w:r>
    </w:p>
    <w:tbl>
      <w:tblPr>
        <w:tblW w:w="10851" w:type="dxa"/>
        <w:jc w:val="left"/>
        <w:tblInd w:w="-129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val="04a0"/>
      </w:tblPr>
      <w:tblGrid>
        <w:gridCol w:w="959"/>
        <w:gridCol w:w="1328"/>
        <w:gridCol w:w="1452"/>
        <w:gridCol w:w="1210"/>
        <w:gridCol w:w="955"/>
        <w:gridCol w:w="1"/>
        <w:gridCol w:w="1329"/>
        <w:gridCol w:w="1452"/>
        <w:gridCol w:w="1210"/>
        <w:gridCol w:w="954"/>
      </w:tblGrid>
      <w:tr>
        <w:trPr>
          <w:trHeight w:val="315" w:hRule="atLeast"/>
        </w:trPr>
        <w:tc>
          <w:tcPr>
            <w:tcW w:w="9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Источник</w:t>
            </w:r>
          </w:p>
        </w:tc>
        <w:tc>
          <w:tcPr>
            <w:tcW w:w="494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
                <w:b/>
                <w:bCs/>
                <w:color w:val="000000"/>
                <w:sz w:val="20"/>
                <w:szCs w:val="20"/>
              </w:rPr>
            </w:pPr>
            <w:r>
              <w:rPr>
                <w:rFonts w:cs="Arial"/>
                <w:b/>
                <w:bCs/>
                <w:color w:val="000000"/>
                <w:sz w:val="20"/>
                <w:szCs w:val="20"/>
              </w:rPr>
              <w:t>Первая очередь (2015-2020г)</w:t>
            </w:r>
          </w:p>
        </w:tc>
        <w:tc>
          <w:tcPr>
            <w:tcW w:w="4946"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sz w:val="20"/>
                <w:szCs w:val="20"/>
              </w:rPr>
            </w:pPr>
            <w:r>
              <w:rPr>
                <w:rFonts w:cs="Arial"/>
                <w:b/>
                <w:bCs/>
                <w:color w:val="000000"/>
                <w:sz w:val="20"/>
                <w:szCs w:val="20"/>
              </w:rPr>
              <w:t>Расчетный срок (2021-2030г)</w:t>
            </w:r>
          </w:p>
        </w:tc>
      </w:tr>
      <w:tr>
        <w:trPr>
          <w:trHeight w:val="1815" w:hRule="atLeast"/>
        </w:trPr>
        <w:tc>
          <w:tcPr>
            <w:tcW w:w="9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left"/>
              <w:rPr>
                <w:rFonts w:cs="Arial"/>
                <w:b/>
                <w:b/>
                <w:bCs/>
                <w:color w:val="000000"/>
                <w:sz w:val="20"/>
                <w:szCs w:val="20"/>
              </w:rPr>
            </w:pPr>
            <w:r>
              <w:rPr>
                <w:rFonts w:cs="Arial"/>
                <w:b/>
                <w:bCs/>
                <w:color w:val="000000"/>
                <w:sz w:val="20"/>
                <w:szCs w:val="20"/>
              </w:rPr>
            </w:r>
          </w:p>
        </w:tc>
        <w:tc>
          <w:tcPr>
            <w:tcW w:w="1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Установленная мощность котельной, Гкал/ч</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Присоединенная нагрузка, Гкал/ч</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Собственные нужды, %</w:t>
            </w:r>
          </w:p>
        </w:tc>
        <w:tc>
          <w:tcPr>
            <w:tcW w:w="95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Резерв(+)/ дефицит(-) тепловой мощности нетто, Гкал</w:t>
            </w:r>
          </w:p>
        </w:tc>
        <w:tc>
          <w:tcPr>
            <w:tcW w:w="13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Установленная мощность котельной, Гкал/ч</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Присоединенная нагрузка, Гкал/ч</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Собственные нужды, %</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Резерв(+)/ дефицит(-) тепловой мощности нетто, Гкал</w:t>
            </w:r>
          </w:p>
        </w:tc>
      </w:tr>
      <w:tr>
        <w:trPr>
          <w:trHeight w:val="315" w:hRule="atLeast"/>
        </w:trPr>
        <w:tc>
          <w:tcPr>
            <w:tcW w:w="9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№1</w:t>
            </w:r>
          </w:p>
        </w:tc>
        <w:tc>
          <w:tcPr>
            <w:tcW w:w="1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7.38</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5.45</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0.40</w:t>
            </w:r>
          </w:p>
        </w:tc>
        <w:tc>
          <w:tcPr>
            <w:tcW w:w="95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1.93</w:t>
            </w:r>
          </w:p>
        </w:tc>
        <w:tc>
          <w:tcPr>
            <w:tcW w:w="13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12,0</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10.00</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0.40</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1.35</w:t>
            </w:r>
          </w:p>
        </w:tc>
      </w:tr>
      <w:tr>
        <w:trPr>
          <w:trHeight w:val="315" w:hRule="atLeast"/>
        </w:trPr>
        <w:tc>
          <w:tcPr>
            <w:tcW w:w="9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№2</w:t>
            </w:r>
          </w:p>
        </w:tc>
        <w:tc>
          <w:tcPr>
            <w:tcW w:w="1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0.20</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0.06</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0.40</w:t>
            </w:r>
          </w:p>
        </w:tc>
        <w:tc>
          <w:tcPr>
            <w:tcW w:w="95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0.14</w:t>
            </w:r>
          </w:p>
        </w:tc>
        <w:tc>
          <w:tcPr>
            <w:tcW w:w="13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0.20</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0.06</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0.40</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0.14</w:t>
            </w:r>
          </w:p>
        </w:tc>
      </w:tr>
      <w:tr>
        <w:trPr>
          <w:trHeight w:val="315" w:hRule="atLeast"/>
        </w:trPr>
        <w:tc>
          <w:tcPr>
            <w:tcW w:w="9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№4</w:t>
            </w:r>
          </w:p>
        </w:tc>
        <w:tc>
          <w:tcPr>
            <w:tcW w:w="1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0.13</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0.10</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0.40</w:t>
            </w:r>
          </w:p>
        </w:tc>
        <w:tc>
          <w:tcPr>
            <w:tcW w:w="95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0.03</w:t>
            </w:r>
          </w:p>
        </w:tc>
        <w:tc>
          <w:tcPr>
            <w:tcW w:w="13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0.13</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0.10</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0.40</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0.03</w:t>
            </w:r>
          </w:p>
        </w:tc>
      </w:tr>
      <w:tr>
        <w:trPr>
          <w:trHeight w:val="315" w:hRule="atLeast"/>
        </w:trPr>
        <w:tc>
          <w:tcPr>
            <w:tcW w:w="9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№5</w:t>
            </w:r>
          </w:p>
        </w:tc>
        <w:tc>
          <w:tcPr>
            <w:tcW w:w="1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5.01</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1.59</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0.50</w:t>
            </w:r>
          </w:p>
        </w:tc>
        <w:tc>
          <w:tcPr>
            <w:tcW w:w="95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3.42</w:t>
            </w:r>
          </w:p>
        </w:tc>
        <w:tc>
          <w:tcPr>
            <w:tcW w:w="13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5.01</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1.59</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0.50</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3.42</w:t>
            </w:r>
          </w:p>
        </w:tc>
      </w:tr>
      <w:tr>
        <w:trPr>
          <w:trHeight w:val="315" w:hRule="atLeast"/>
        </w:trPr>
        <w:tc>
          <w:tcPr>
            <w:tcW w:w="9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№6</w:t>
            </w:r>
          </w:p>
        </w:tc>
        <w:tc>
          <w:tcPr>
            <w:tcW w:w="1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1.46</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0.45</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0.70</w:t>
            </w:r>
          </w:p>
        </w:tc>
        <w:tc>
          <w:tcPr>
            <w:tcW w:w="95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1.01</w:t>
            </w:r>
          </w:p>
        </w:tc>
        <w:tc>
          <w:tcPr>
            <w:tcW w:w="13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1.46</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0.45</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0.70</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1.01</w:t>
            </w:r>
          </w:p>
        </w:tc>
      </w:tr>
      <w:tr>
        <w:trPr>
          <w:trHeight w:val="315" w:hRule="atLeast"/>
        </w:trPr>
        <w:tc>
          <w:tcPr>
            <w:tcW w:w="9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№7</w:t>
            </w:r>
          </w:p>
        </w:tc>
        <w:tc>
          <w:tcPr>
            <w:tcW w:w="1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0.73</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0.04</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0.4</w:t>
            </w:r>
          </w:p>
        </w:tc>
        <w:tc>
          <w:tcPr>
            <w:tcW w:w="95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0.69</w:t>
            </w:r>
          </w:p>
        </w:tc>
        <w:tc>
          <w:tcPr>
            <w:tcW w:w="13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0.73</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0.04</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0.4</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0.69</w:t>
            </w:r>
          </w:p>
        </w:tc>
      </w:tr>
      <w:tr>
        <w:trPr>
          <w:trHeight w:val="315" w:hRule="atLeast"/>
        </w:trPr>
        <w:tc>
          <w:tcPr>
            <w:tcW w:w="9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ООО «Газпром энерго»</w:t>
            </w:r>
          </w:p>
        </w:tc>
        <w:tc>
          <w:tcPr>
            <w:tcW w:w="1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6,02</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0,36</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5,42</w:t>
            </w:r>
          </w:p>
        </w:tc>
        <w:tc>
          <w:tcPr>
            <w:tcW w:w="95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4,69</w:t>
            </w:r>
          </w:p>
        </w:tc>
        <w:tc>
          <w:tcPr>
            <w:tcW w:w="13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6,02</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0,36</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5,42</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4,69</w:t>
            </w:r>
          </w:p>
        </w:tc>
      </w:tr>
      <w:tr>
        <w:trPr>
          <w:trHeight w:val="315" w:hRule="atLeast"/>
        </w:trPr>
        <w:tc>
          <w:tcPr>
            <w:tcW w:w="9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w w:val="90"/>
                <w:sz w:val="20"/>
                <w:szCs w:val="20"/>
              </w:rPr>
              <w:t>Котельная блочная 0,6 МВт «Больница»</w:t>
            </w:r>
          </w:p>
        </w:tc>
        <w:tc>
          <w:tcPr>
            <w:tcW w:w="1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0,515</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0,4</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0,4</w:t>
            </w:r>
          </w:p>
        </w:tc>
        <w:tc>
          <w:tcPr>
            <w:tcW w:w="95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w:t>
            </w:r>
          </w:p>
        </w:tc>
        <w:tc>
          <w:tcPr>
            <w:tcW w:w="13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0,515</w:t>
            </w:r>
          </w:p>
        </w:tc>
        <w:tc>
          <w:tcPr>
            <w:tcW w:w="14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0,4</w:t>
            </w:r>
          </w:p>
        </w:tc>
        <w:tc>
          <w:tcPr>
            <w:tcW w:w="12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0,4</w:t>
            </w:r>
          </w:p>
        </w:tc>
        <w:tc>
          <w:tcPr>
            <w:tcW w:w="9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w:t>
            </w:r>
          </w:p>
        </w:tc>
      </w:tr>
    </w:tbl>
    <w:p>
      <w:pPr>
        <w:pStyle w:val="Normal"/>
        <w:rPr>
          <w:rFonts w:eastAsia="MS Mincho" w:cs="Arial"/>
          <w:szCs w:val="26"/>
          <w:lang w:val="ru-RU"/>
        </w:rPr>
      </w:pPr>
      <w:r>
        <w:rPr>
          <w:rFonts w:eastAsia="MS Mincho" w:cs="Arial"/>
          <w:szCs w:val="26"/>
          <w:lang w:val="ru-RU"/>
        </w:rPr>
      </w:r>
    </w:p>
    <w:p>
      <w:pPr>
        <w:pStyle w:val="Normal"/>
        <w:rPr>
          <w:rFonts w:eastAsia="MS Mincho" w:cs="Arial"/>
          <w:szCs w:val="26"/>
          <w:lang w:val="ru-RU"/>
        </w:rPr>
      </w:pPr>
      <w:r>
        <w:rPr>
          <w:rFonts w:eastAsia="MS Mincho" w:cs="Arial"/>
          <w:szCs w:val="26"/>
          <w:lang w:val="ru-RU"/>
        </w:rPr>
        <w:t>Данных о выделении аварийного резерва и резерва по договорам на поддержание резервной тепловой мощности нет.</w:t>
      </w:r>
    </w:p>
    <w:p>
      <w:pPr>
        <w:pStyle w:val="Normal"/>
        <w:rPr>
          <w:rFonts w:eastAsia="MS Mincho" w:cs="Arial"/>
          <w:szCs w:val="26"/>
          <w:lang w:val="ru-RU"/>
        </w:rPr>
      </w:pPr>
      <w:r>
        <w:rPr>
          <w:rFonts w:eastAsia="MS Mincho" w:cs="Arial"/>
          <w:szCs w:val="26"/>
          <w:lang w:val="ru-RU"/>
        </w:rPr>
      </w:r>
    </w:p>
    <w:p>
      <w:pPr>
        <w:pStyle w:val="Normal"/>
        <w:numPr>
          <w:ilvl w:val="1"/>
          <w:numId w:val="1"/>
        </w:numPr>
        <w:ind w:left="0" w:hanging="0"/>
        <w:jc w:val="center"/>
        <w:outlineLvl w:val="1"/>
        <w:rPr>
          <w:rFonts w:cs="Arial"/>
          <w:b/>
          <w:b/>
          <w:szCs w:val="26"/>
          <w:lang w:val="ru-RU" w:eastAsia="ru-RU"/>
        </w:rPr>
      </w:pPr>
      <w:bookmarkStart w:id="40" w:name="_Toc397084940"/>
      <w:bookmarkStart w:id="41" w:name="_Toc398022665"/>
      <w:bookmarkEnd w:id="40"/>
      <w:bookmarkEnd w:id="41"/>
      <w:r>
        <w:rPr>
          <w:rFonts w:cs="Arial"/>
          <w:b/>
          <w:szCs w:val="26"/>
          <w:lang w:val="ru-RU" w:eastAsia="ru-RU"/>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pPr>
        <w:pStyle w:val="Normal"/>
        <w:suppressLineNumbers/>
        <w:suppressAutoHyphens w:val="true"/>
        <w:textAlignment w:val="baseline"/>
        <w:rPr>
          <w:rFonts w:cs="Arial"/>
          <w:iCs/>
          <w:szCs w:val="26"/>
          <w:lang w:val="ru-RU" w:eastAsia="zh-CN"/>
        </w:rPr>
      </w:pPr>
      <w:r>
        <w:rPr>
          <w:rFonts w:cs="Arial"/>
          <w:iCs/>
          <w:szCs w:val="26"/>
          <w:lang w:val="ru-RU" w:eastAsia="zh-CN"/>
        </w:rPr>
      </w:r>
    </w:p>
    <w:p>
      <w:pPr>
        <w:pStyle w:val="Normal"/>
        <w:suppressLineNumbers/>
        <w:suppressAutoHyphens w:val="true"/>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12</w:t>
      </w:r>
      <w:r>
        <w:fldChar w:fldCharType="end"/>
      </w:r>
      <w:r>
        <w:rPr>
          <w:rFonts w:cs="Arial"/>
          <w:iCs/>
          <w:szCs w:val="26"/>
          <w:lang w:val="ru-RU" w:eastAsia="zh-CN"/>
        </w:rPr>
        <w:t xml:space="preserve"> – </w:t>
      </w:r>
      <w:r>
        <w:rPr>
          <w:rFonts w:eastAsia="MS Mincho" w:cs="Arial"/>
          <w:iCs/>
          <w:szCs w:val="26"/>
          <w:lang w:val="ru-RU" w:eastAsia="zh-CN"/>
        </w:rPr>
        <w:t>Значения существующей (</w:t>
      </w:r>
      <w:r>
        <w:rPr>
          <w:rFonts w:cs="Arial"/>
          <w:iCs/>
          <w:szCs w:val="26"/>
          <w:lang w:val="ru-RU" w:eastAsia="zh-CN"/>
        </w:rPr>
        <w:t>соответствуют значениям первой очереди (2015-2020г)</w:t>
      </w:r>
      <w:r>
        <w:rPr>
          <w:rFonts w:eastAsia="MS Mincho" w:cs="Arial"/>
          <w:iCs/>
          <w:szCs w:val="26"/>
          <w:lang w:val="ru-RU" w:eastAsia="zh-CN"/>
        </w:rPr>
        <w:t>) и перспективной тепловой нагрузки потребителей</w:t>
      </w:r>
    </w:p>
    <w:tbl>
      <w:tblPr>
        <w:tblW w:w="5000" w:type="pct"/>
        <w:jc w:val="left"/>
        <w:tblInd w:w="-30"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0" w:type="dxa"/>
          <w:left w:w="68" w:type="dxa"/>
          <w:bottom w:w="0" w:type="dxa"/>
          <w:right w:w="108" w:type="dxa"/>
        </w:tblCellMar>
        <w:tblLook w:val="04a0"/>
      </w:tblPr>
      <w:tblGrid>
        <w:gridCol w:w="4590"/>
        <w:gridCol w:w="2382"/>
        <w:gridCol w:w="2382"/>
      </w:tblGrid>
      <w:tr>
        <w:trPr>
          <w:trHeight w:val="20" w:hRule="atLeast"/>
        </w:trPr>
        <w:tc>
          <w:tcPr>
            <w:tcW w:w="4590"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000000" w:fill="E5DFEC" w:val="clear"/>
            <w:tcMar>
              <w:left w:w="68" w:type="dxa"/>
            </w:tcMar>
            <w:vAlign w:val="bottom"/>
          </w:tcPr>
          <w:p>
            <w:pPr>
              <w:pStyle w:val="Normal"/>
              <w:ind w:hanging="0"/>
              <w:jc w:val="center"/>
              <w:rPr>
                <w:rFonts w:cs="Arial"/>
                <w:b/>
                <w:b/>
                <w:bCs/>
                <w:color w:val="000000"/>
                <w:sz w:val="20"/>
                <w:szCs w:val="20"/>
              </w:rPr>
            </w:pPr>
            <w:r>
              <w:rPr>
                <w:rFonts w:cs="Arial"/>
                <w:b/>
                <w:bCs/>
                <w:color w:val="000000"/>
                <w:sz w:val="20"/>
                <w:szCs w:val="20"/>
              </w:rPr>
              <w:t>Источник</w:t>
            </w:r>
          </w:p>
        </w:tc>
        <w:tc>
          <w:tcPr>
            <w:tcW w:w="2382" w:type="dxa"/>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color="000000" w:fill="E5E0EC" w:val="clear"/>
            <w:vAlign w:val="bottom"/>
          </w:tcPr>
          <w:p>
            <w:pPr>
              <w:pStyle w:val="Normal"/>
              <w:ind w:hanging="0"/>
              <w:jc w:val="center"/>
              <w:rPr>
                <w:rFonts w:cs="Arial"/>
                <w:b/>
                <w:b/>
                <w:bCs/>
                <w:color w:val="000000"/>
                <w:sz w:val="20"/>
                <w:szCs w:val="20"/>
              </w:rPr>
            </w:pPr>
            <w:r>
              <w:rPr>
                <w:rFonts w:cs="Arial"/>
                <w:b/>
                <w:bCs/>
                <w:color w:val="000000"/>
                <w:sz w:val="20"/>
                <w:szCs w:val="20"/>
              </w:rPr>
              <w:t>Первая очередь</w:t>
            </w:r>
          </w:p>
          <w:p>
            <w:pPr>
              <w:pStyle w:val="Normal"/>
              <w:ind w:hanging="0"/>
              <w:jc w:val="center"/>
              <w:rPr>
                <w:rFonts w:cs="Arial"/>
                <w:b/>
                <w:b/>
                <w:bCs/>
                <w:color w:val="000000"/>
                <w:sz w:val="20"/>
                <w:szCs w:val="20"/>
              </w:rPr>
            </w:pPr>
            <w:r>
              <w:rPr>
                <w:rFonts w:cs="Arial"/>
                <w:b/>
                <w:bCs/>
                <w:color w:val="000000"/>
                <w:sz w:val="20"/>
                <w:szCs w:val="20"/>
              </w:rPr>
              <w:t xml:space="preserve"> </w:t>
            </w:r>
            <w:r>
              <w:rPr>
                <w:rFonts w:cs="Arial"/>
                <w:b/>
                <w:bCs/>
                <w:color w:val="000000"/>
                <w:sz w:val="20"/>
                <w:szCs w:val="20"/>
              </w:rPr>
              <w:t>(2015-2020г)</w:t>
            </w:r>
          </w:p>
        </w:tc>
        <w:tc>
          <w:tcPr>
            <w:tcW w:w="2382"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000000" w:fill="E5DFEC"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 xml:space="preserve">Расчетный срок </w:t>
            </w:r>
          </w:p>
          <w:p>
            <w:pPr>
              <w:pStyle w:val="Normal"/>
              <w:ind w:hanging="0"/>
              <w:jc w:val="center"/>
              <w:rPr>
                <w:rFonts w:cs="Arial"/>
                <w:b/>
                <w:b/>
                <w:bCs/>
                <w:color w:val="000000"/>
                <w:sz w:val="20"/>
                <w:szCs w:val="20"/>
              </w:rPr>
            </w:pPr>
            <w:r>
              <w:rPr>
                <w:rFonts w:cs="Arial"/>
                <w:b/>
                <w:bCs/>
                <w:color w:val="000000"/>
                <w:sz w:val="20"/>
                <w:szCs w:val="20"/>
              </w:rPr>
              <w:t>(2021-2030г)</w:t>
            </w:r>
          </w:p>
        </w:tc>
      </w:tr>
      <w:tr>
        <w:trPr>
          <w:trHeight w:val="20" w:hRule="atLeast"/>
        </w:trPr>
        <w:tc>
          <w:tcPr>
            <w:tcW w:w="4590"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center"/>
          </w:tcPr>
          <w:p>
            <w:pPr>
              <w:pStyle w:val="Normal"/>
              <w:ind w:hanging="0"/>
              <w:jc w:val="left"/>
              <w:rPr>
                <w:rFonts w:cs="Arial"/>
                <w:b/>
                <w:b/>
                <w:bCs/>
                <w:color w:val="000000"/>
                <w:sz w:val="20"/>
                <w:szCs w:val="20"/>
              </w:rPr>
            </w:pPr>
            <w:r>
              <w:rPr>
                <w:rFonts w:cs="Arial"/>
                <w:b/>
                <w:bCs/>
                <w:color w:val="000000"/>
                <w:sz w:val="20"/>
                <w:szCs w:val="20"/>
              </w:rPr>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sz w:val="20"/>
                <w:szCs w:val="20"/>
              </w:rPr>
            </w:pPr>
            <w:r>
              <w:rPr>
                <w:rFonts w:cs="Arial"/>
                <w:b/>
                <w:bCs/>
                <w:color w:val="000000"/>
                <w:sz w:val="20"/>
                <w:szCs w:val="20"/>
              </w:rPr>
              <w:t>Присоединенная нагрузка, Гкал/ч</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E5E0EC" w:val="clear"/>
            <w:vAlign w:val="bottom"/>
          </w:tcPr>
          <w:p>
            <w:pPr>
              <w:pStyle w:val="Normal"/>
              <w:ind w:hanging="0"/>
              <w:jc w:val="center"/>
              <w:rPr>
                <w:rFonts w:cs="Arial"/>
                <w:b/>
                <w:b/>
                <w:bCs/>
                <w:color w:val="000000"/>
                <w:sz w:val="20"/>
                <w:szCs w:val="20"/>
              </w:rPr>
            </w:pPr>
            <w:r>
              <w:rPr>
                <w:rFonts w:cs="Arial"/>
                <w:b/>
                <w:bCs/>
                <w:color w:val="000000"/>
                <w:sz w:val="20"/>
                <w:szCs w:val="20"/>
              </w:rPr>
              <w:t>Присоединенная нагрузка, Гкал/ч</w:t>
            </w:r>
          </w:p>
        </w:tc>
      </w:tr>
      <w:tr>
        <w:trPr>
          <w:trHeight w:val="20" w:hRule="atLeast"/>
        </w:trPr>
        <w:tc>
          <w:tcPr>
            <w:tcW w:w="459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№1</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4,935</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4,935</w:t>
            </w:r>
          </w:p>
        </w:tc>
      </w:tr>
      <w:tr>
        <w:trPr>
          <w:trHeight w:val="20" w:hRule="atLeast"/>
        </w:trPr>
        <w:tc>
          <w:tcPr>
            <w:tcW w:w="459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№2</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0,06</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0,06</w:t>
            </w:r>
          </w:p>
        </w:tc>
      </w:tr>
      <w:tr>
        <w:trPr>
          <w:trHeight w:val="20" w:hRule="atLeast"/>
        </w:trPr>
        <w:tc>
          <w:tcPr>
            <w:tcW w:w="459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№4</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0,10</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0,10</w:t>
            </w:r>
          </w:p>
        </w:tc>
      </w:tr>
      <w:tr>
        <w:trPr>
          <w:trHeight w:val="20" w:hRule="atLeast"/>
        </w:trPr>
        <w:tc>
          <w:tcPr>
            <w:tcW w:w="459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FFFF"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№5</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1,59</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1,59</w:t>
            </w:r>
          </w:p>
        </w:tc>
      </w:tr>
      <w:tr>
        <w:trPr>
          <w:trHeight w:val="20" w:hRule="atLeast"/>
        </w:trPr>
        <w:tc>
          <w:tcPr>
            <w:tcW w:w="459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№6</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0,45</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0,45</w:t>
            </w:r>
          </w:p>
        </w:tc>
      </w:tr>
      <w:tr>
        <w:trPr>
          <w:trHeight w:val="20" w:hRule="atLeast"/>
        </w:trPr>
        <w:tc>
          <w:tcPr>
            <w:tcW w:w="459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№7</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0,04</w:t>
            </w:r>
          </w:p>
        </w:tc>
        <w:tc>
          <w:tcPr>
            <w:tcW w:w="23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0,04</w:t>
            </w:r>
          </w:p>
        </w:tc>
      </w:tr>
      <w:tr>
        <w:trPr>
          <w:trHeight w:val="20" w:hRule="atLeast"/>
        </w:trPr>
        <w:tc>
          <w:tcPr>
            <w:tcW w:w="4590"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8" w:type="dxa"/>
            </w:tcMar>
            <w:vAlign w:val="bottom"/>
          </w:tcPr>
          <w:p>
            <w:pPr>
              <w:pStyle w:val="Normal"/>
              <w:ind w:hanging="0"/>
              <w:jc w:val="left"/>
              <w:rPr>
                <w:rFonts w:cs="Arial"/>
                <w:color w:val="000000"/>
                <w:sz w:val="20"/>
                <w:szCs w:val="20"/>
              </w:rPr>
            </w:pPr>
            <w:r>
              <w:rPr>
                <w:rFonts w:cs="Arial"/>
                <w:color w:val="000000"/>
                <w:sz w:val="20"/>
                <w:szCs w:val="20"/>
              </w:rPr>
              <w:t>Котельная ООО «Газпром энерго»</w:t>
            </w:r>
          </w:p>
        </w:tc>
        <w:tc>
          <w:tcPr>
            <w:tcW w:w="2382"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0,36</w:t>
            </w:r>
          </w:p>
        </w:tc>
        <w:tc>
          <w:tcPr>
            <w:tcW w:w="2382"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ind w:hanging="0"/>
              <w:jc w:val="center"/>
              <w:rPr>
                <w:rFonts w:cs="Arial"/>
                <w:color w:val="000000"/>
                <w:sz w:val="20"/>
                <w:szCs w:val="20"/>
              </w:rPr>
            </w:pPr>
            <w:r>
              <w:rPr>
                <w:rFonts w:cs="Arial"/>
                <w:color w:val="000000"/>
                <w:sz w:val="20"/>
                <w:szCs w:val="20"/>
              </w:rPr>
              <w:t xml:space="preserve"> </w:t>
            </w:r>
            <w:r>
              <w:rPr>
                <w:rFonts w:cs="Arial"/>
                <w:color w:val="000000"/>
                <w:sz w:val="20"/>
                <w:szCs w:val="20"/>
              </w:rPr>
              <w:t>0,36 </w:t>
            </w:r>
          </w:p>
        </w:tc>
      </w:tr>
      <w:tr>
        <w:trPr>
          <w:trHeight w:val="20" w:hRule="atLeast"/>
        </w:trPr>
        <w:tc>
          <w:tcPr>
            <w:tcW w:w="4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bottom"/>
          </w:tcPr>
          <w:p>
            <w:pPr>
              <w:pStyle w:val="Normal"/>
              <w:ind w:hanging="0"/>
              <w:jc w:val="left"/>
              <w:rPr>
                <w:rFonts w:cs="Arial"/>
                <w:color w:val="000000"/>
                <w:sz w:val="20"/>
                <w:szCs w:val="20"/>
              </w:rPr>
            </w:pPr>
            <w:r>
              <w:rPr>
                <w:rFonts w:cs="Arial"/>
                <w:color w:val="000000"/>
                <w:w w:val="90"/>
                <w:sz w:val="20"/>
                <w:szCs w:val="20"/>
              </w:rPr>
              <w:t>Котельная блочная 0,6 МВт «Больница»</w:t>
            </w:r>
          </w:p>
        </w:tc>
        <w:tc>
          <w:tcPr>
            <w:tcW w:w="23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bottom"/>
          </w:tcPr>
          <w:p>
            <w:pPr>
              <w:pStyle w:val="Normal"/>
              <w:ind w:hanging="0"/>
              <w:jc w:val="center"/>
              <w:rPr>
                <w:rFonts w:cs="Arial"/>
                <w:color w:val="000000"/>
                <w:sz w:val="20"/>
                <w:szCs w:val="20"/>
              </w:rPr>
            </w:pPr>
            <w:r>
              <w:rPr>
                <w:rFonts w:cs="Arial"/>
                <w:color w:val="000000"/>
                <w:sz w:val="20"/>
                <w:szCs w:val="20"/>
              </w:rPr>
              <w:t>0,515</w:t>
            </w:r>
          </w:p>
        </w:tc>
        <w:tc>
          <w:tcPr>
            <w:tcW w:w="23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bottom"/>
          </w:tcPr>
          <w:p>
            <w:pPr>
              <w:pStyle w:val="Normal"/>
              <w:ind w:hanging="0"/>
              <w:jc w:val="center"/>
              <w:rPr>
                <w:rFonts w:cs="Arial"/>
                <w:color w:val="000000"/>
                <w:sz w:val="20"/>
                <w:szCs w:val="20"/>
              </w:rPr>
            </w:pPr>
            <w:r>
              <w:rPr>
                <w:rFonts w:cs="Arial"/>
                <w:color w:val="000000"/>
                <w:sz w:val="20"/>
                <w:szCs w:val="20"/>
              </w:rPr>
              <w:t>0,515</w:t>
            </w:r>
          </w:p>
        </w:tc>
      </w:tr>
    </w:tbl>
    <w:p>
      <w:pPr>
        <w:pStyle w:val="Normal"/>
        <w:numPr>
          <w:ilvl w:val="0"/>
          <w:numId w:val="0"/>
        </w:numPr>
        <w:spacing w:before="0" w:after="0"/>
        <w:ind w:hanging="0"/>
        <w:contextualSpacing/>
        <w:jc w:val="center"/>
        <w:outlineLvl w:val="0"/>
        <w:rPr>
          <w:rFonts w:cs="Arial"/>
          <w:b/>
          <w:b/>
          <w:szCs w:val="26"/>
          <w:lang w:val="ru-RU" w:eastAsia="ru-RU"/>
        </w:rPr>
      </w:pPr>
      <w:r>
        <w:rPr>
          <w:rFonts w:cs="Arial"/>
          <w:b/>
          <w:szCs w:val="26"/>
          <w:lang w:val="ru-RU" w:eastAsia="ru-RU"/>
        </w:rPr>
      </w:r>
    </w:p>
    <w:p>
      <w:pPr>
        <w:pStyle w:val="Normal"/>
        <w:numPr>
          <w:ilvl w:val="0"/>
          <w:numId w:val="1"/>
        </w:numPr>
        <w:spacing w:before="0" w:after="0"/>
        <w:ind w:left="0" w:hanging="0"/>
        <w:contextualSpacing/>
        <w:jc w:val="center"/>
        <w:outlineLvl w:val="0"/>
        <w:rPr>
          <w:rFonts w:cs="Arial"/>
          <w:b/>
          <w:b/>
          <w:szCs w:val="26"/>
          <w:lang w:val="ru-RU" w:eastAsia="ru-RU"/>
        </w:rPr>
      </w:pPr>
      <w:bookmarkStart w:id="42" w:name="_Toc398022666"/>
      <w:bookmarkEnd w:id="42"/>
      <w:r>
        <w:rPr>
          <w:rFonts w:cs="Arial"/>
          <w:b/>
          <w:szCs w:val="26"/>
          <w:lang w:val="ru-RU" w:eastAsia="ru-RU"/>
        </w:rPr>
        <w:t>Перспективные балансы теплоносителя</w:t>
      </w:r>
    </w:p>
    <w:p>
      <w:pPr>
        <w:pStyle w:val="Normal"/>
        <w:numPr>
          <w:ilvl w:val="1"/>
          <w:numId w:val="1"/>
        </w:numPr>
        <w:ind w:left="0" w:hanging="576"/>
        <w:jc w:val="center"/>
        <w:outlineLvl w:val="1"/>
        <w:rPr>
          <w:rFonts w:cs="Arial"/>
          <w:b/>
          <w:b/>
          <w:szCs w:val="26"/>
          <w:lang w:val="ru-RU" w:eastAsia="ru-RU"/>
        </w:rPr>
      </w:pPr>
      <w:bookmarkStart w:id="43" w:name="_Toc397084944"/>
      <w:bookmarkStart w:id="44" w:name="_Toc398022667"/>
      <w:bookmarkEnd w:id="43"/>
      <w:bookmarkEnd w:id="44"/>
      <w:r>
        <w:rPr>
          <w:rFonts w:cs="Arial"/>
          <w:b/>
          <w:szCs w:val="26"/>
          <w:lang w:val="ru-RU" w:eastAsia="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pPr>
        <w:pStyle w:val="Normal"/>
        <w:rPr/>
      </w:pPr>
      <w:r>
        <w:rPr>
          <w:rFonts w:cs="Arial"/>
          <w:szCs w:val="26"/>
          <w:lang w:val="ru-RU"/>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 учетом увеличения тепловых нагрузок приведены в </w:t>
      </w:r>
      <w:r>
        <w:rPr>
          <w:rFonts w:cs="Arial"/>
          <w:szCs w:val="26"/>
          <w:lang w:val="ru-RU"/>
        </w:rPr>
        <w:fldChar w:fldCharType="begin"/>
      </w:r>
      <w:r>
        <w:instrText> REF _Ref392596870 \h </w:instrText>
      </w:r>
      <w:r>
        <w:fldChar w:fldCharType="separate"/>
      </w:r>
      <w:r>
        <w:t>Таблица 13</w:t>
      </w:r>
      <w:r>
        <w:fldChar w:fldCharType="end"/>
      </w:r>
      <w:r>
        <w:rPr>
          <w:rFonts w:cs="Arial"/>
          <w:szCs w:val="26"/>
          <w:lang w:val="ru-RU"/>
        </w:rPr>
        <w:t>.</w:t>
      </w:r>
    </w:p>
    <w:p>
      <w:pPr>
        <w:pStyle w:val="Normal"/>
        <w:rPr>
          <w:rFonts w:cs="Arial"/>
          <w:szCs w:val="26"/>
          <w:lang w:val="ru-RU"/>
        </w:rPr>
      </w:pPr>
      <w:r>
        <w:rPr>
          <w:rFonts w:cs="Arial"/>
          <w:szCs w:val="26"/>
          <w:lang w:val="ru-RU"/>
        </w:rPr>
      </w:r>
    </w:p>
    <w:p>
      <w:pPr>
        <w:pStyle w:val="Normal"/>
        <w:numPr>
          <w:ilvl w:val="1"/>
          <w:numId w:val="1"/>
        </w:numPr>
        <w:ind w:left="0" w:hanging="576"/>
        <w:jc w:val="center"/>
        <w:outlineLvl w:val="1"/>
        <w:rPr>
          <w:rFonts w:cs="Arial"/>
          <w:b/>
          <w:b/>
          <w:szCs w:val="26"/>
          <w:lang w:val="ru-RU" w:eastAsia="ru-RU"/>
        </w:rPr>
      </w:pPr>
      <w:bookmarkStart w:id="45" w:name="_Toc397084945"/>
      <w:bookmarkStart w:id="46" w:name="_Toc398022668"/>
      <w:bookmarkEnd w:id="45"/>
      <w:bookmarkEnd w:id="46"/>
      <w:r>
        <w:rPr>
          <w:rFonts w:cs="Arial"/>
          <w:b/>
          <w:szCs w:val="26"/>
          <w:lang w:val="ru-RU" w:eastAsia="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pPr>
        <w:sectPr>
          <w:footerReference w:type="default" r:id="rId24"/>
          <w:type w:val="nextPage"/>
          <w:pgSz w:w="11906" w:h="16838"/>
          <w:pgMar w:left="1701" w:right="851" w:header="0" w:top="567" w:footer="709" w:bottom="766" w:gutter="0"/>
          <w:pgNumType w:fmt="decimal"/>
          <w:formProt w:val="false"/>
          <w:textDirection w:val="lrTb"/>
          <w:docGrid w:type="default" w:linePitch="360" w:charSpace="4294957055"/>
        </w:sectPr>
        <w:pStyle w:val="Normal"/>
        <w:rPr/>
      </w:pPr>
      <w:r>
        <w:rPr>
          <w:rFonts w:cs="Arial"/>
          <w:szCs w:val="26"/>
          <w:lang w:val="ru-RU"/>
        </w:rPr>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 </w:t>
      </w:r>
      <w:r>
        <w:rPr>
          <w:rFonts w:cs="Arial"/>
          <w:szCs w:val="26"/>
          <w:lang w:val="ru-RU"/>
        </w:rPr>
        <w:t xml:space="preserve">в </w:t>
      </w:r>
      <w:r>
        <w:rPr>
          <w:rFonts w:cs="Arial"/>
          <w:szCs w:val="26"/>
          <w:lang w:val="ru-RU"/>
        </w:rPr>
        <w:fldChar w:fldCharType="begin"/>
      </w:r>
      <w:r>
        <w:instrText> REF _Ref392596870 \h </w:instrText>
      </w:r>
      <w:r>
        <w:fldChar w:fldCharType="separate"/>
      </w:r>
      <w:r>
        <w:t>Таблица 13</w:t>
      </w:r>
      <w:r>
        <w:fldChar w:fldCharType="end"/>
      </w:r>
      <w:r>
        <w:rPr>
          <w:rFonts w:cs="Arial"/>
          <w:szCs w:val="26"/>
          <w:lang w:val="ru-RU"/>
        </w:rPr>
        <w:t>.</w:t>
      </w:r>
    </w:p>
    <w:p>
      <w:pPr>
        <w:pStyle w:val="Normal"/>
        <w:suppressLineNumbers/>
        <w:suppressAutoHyphens w:val="true"/>
        <w:jc w:val="right"/>
        <w:textAlignment w:val="baseline"/>
        <w:rPr/>
      </w:pPr>
      <w:bookmarkStart w:id="47" w:name="_Ref392596870"/>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13</w:t>
      </w:r>
      <w:r>
        <w:fldChar w:fldCharType="end"/>
      </w:r>
      <w:bookmarkEnd w:id="47"/>
      <w:r>
        <w:rPr>
          <w:rFonts w:cs="Arial"/>
          <w:iCs/>
          <w:szCs w:val="26"/>
          <w:lang w:val="ru-RU" w:eastAsia="zh-CN"/>
        </w:rPr>
        <w:t xml:space="preserve"> – Перспективные балансы производительности водоподготовительных</w:t>
      </w:r>
    </w:p>
    <w:p>
      <w:pPr>
        <w:pStyle w:val="Normal"/>
        <w:suppressLineNumbers/>
        <w:suppressAutoHyphens w:val="true"/>
        <w:jc w:val="right"/>
        <w:textAlignment w:val="baseline"/>
        <w:rPr>
          <w:rFonts w:cs="Arial"/>
          <w:iCs/>
          <w:szCs w:val="26"/>
          <w:lang w:val="ru-RU" w:eastAsia="zh-CN"/>
        </w:rPr>
      </w:pPr>
      <w:r>
        <w:rPr>
          <w:rFonts w:cs="Arial"/>
          <w:iCs/>
          <w:szCs w:val="26"/>
          <w:lang w:val="ru-RU" w:eastAsia="zh-CN"/>
        </w:rPr>
        <w:t xml:space="preserve"> </w:t>
      </w:r>
      <w:r>
        <w:rPr>
          <w:rFonts w:cs="Arial"/>
          <w:iCs/>
          <w:szCs w:val="26"/>
          <w:lang w:val="ru-RU" w:eastAsia="zh-CN"/>
        </w:rPr>
        <w:t>установок (согласно СНиП 41-02-2003. Тепловые сети)</w:t>
      </w:r>
    </w:p>
    <w:tbl>
      <w:tblPr>
        <w:tblW w:w="5000" w:type="pct"/>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val="04a0"/>
      </w:tblPr>
      <w:tblGrid>
        <w:gridCol w:w="968"/>
        <w:gridCol w:w="1336"/>
        <w:gridCol w:w="1024"/>
        <w:gridCol w:w="1024"/>
        <w:gridCol w:w="1809"/>
        <w:gridCol w:w="1466"/>
        <w:gridCol w:w="1"/>
        <w:gridCol w:w="1334"/>
        <w:gridCol w:w="1025"/>
        <w:gridCol w:w="1024"/>
        <w:gridCol w:w="1809"/>
        <w:gridCol w:w="1464"/>
      </w:tblGrid>
      <w:tr>
        <w:trPr>
          <w:trHeight w:val="170" w:hRule="atLeast"/>
        </w:trPr>
        <w:tc>
          <w:tcPr>
            <w:tcW w:w="96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Источник</w:t>
            </w:r>
          </w:p>
        </w:tc>
        <w:tc>
          <w:tcPr>
            <w:tcW w:w="665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первая очередь (2015-2020г)</w:t>
            </w:r>
          </w:p>
        </w:tc>
        <w:tc>
          <w:tcPr>
            <w:tcW w:w="6657"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расчетный срок (2021-2030г)</w:t>
            </w:r>
          </w:p>
        </w:tc>
      </w:tr>
      <w:tr>
        <w:trPr>
          <w:trHeight w:val="170" w:hRule="atLeast"/>
        </w:trPr>
        <w:tc>
          <w:tcPr>
            <w:tcW w:w="9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left"/>
              <w:rPr>
                <w:rFonts w:cs="Arial"/>
                <w:b/>
                <w:b/>
                <w:bCs/>
                <w:color w:val="000000"/>
                <w:sz w:val="20"/>
                <w:szCs w:val="20"/>
              </w:rPr>
            </w:pPr>
            <w:r>
              <w:rPr>
                <w:rFonts w:cs="Arial"/>
                <w:b/>
                <w:bCs/>
                <w:color w:val="000000"/>
                <w:sz w:val="20"/>
                <w:szCs w:val="20"/>
              </w:rPr>
            </w:r>
          </w:p>
        </w:tc>
        <w:tc>
          <w:tcPr>
            <w:tcW w:w="1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Объём теплоносителя в системе, м3*</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Расчётный расход воды на подпитку тепловой, т/ч*</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Аварийная подпитка, т/ч*</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Производительность ВПУ (номинальная), м3/час*</w:t>
            </w:r>
          </w:p>
        </w:tc>
        <w:tc>
          <w:tcPr>
            <w:tcW w:w="146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Присоединенная нагрузка, Гкал/ч</w:t>
            </w:r>
          </w:p>
        </w:tc>
        <w:tc>
          <w:tcPr>
            <w:tcW w:w="1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Объём теплоносителя в системе, м3*</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Расчётный расход воды на подпитку тепловой, т/ч*</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Аварийная подпитка, т/ч*</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lang w:val="ru-RU"/>
              </w:rPr>
            </w:pPr>
            <w:r>
              <w:rPr>
                <w:rFonts w:cs="Arial"/>
                <w:b/>
                <w:bCs/>
                <w:color w:val="000000"/>
                <w:sz w:val="20"/>
                <w:szCs w:val="20"/>
                <w:lang w:val="ru-RU"/>
              </w:rPr>
              <w:t>Производительность ВПУ (номинальная), м3/час*</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b/>
                <w:b/>
                <w:bCs/>
                <w:color w:val="000000"/>
                <w:sz w:val="20"/>
                <w:szCs w:val="20"/>
              </w:rPr>
            </w:pPr>
            <w:r>
              <w:rPr>
                <w:rFonts w:cs="Arial"/>
                <w:b/>
                <w:bCs/>
                <w:color w:val="000000"/>
                <w:sz w:val="20"/>
                <w:szCs w:val="20"/>
              </w:rPr>
              <w:t>Присоединенная нагрузка, Гкал/ч</w:t>
            </w:r>
          </w:p>
        </w:tc>
      </w:tr>
      <w:tr>
        <w:trPr>
          <w:trHeight w:val="170" w:hRule="atLeast"/>
        </w:trPr>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№1</w:t>
            </w:r>
          </w:p>
        </w:tc>
        <w:tc>
          <w:tcPr>
            <w:tcW w:w="1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411.99</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3,09</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8.24</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3.9</w:t>
            </w:r>
          </w:p>
        </w:tc>
        <w:tc>
          <w:tcPr>
            <w:tcW w:w="146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4,935</w:t>
            </w:r>
          </w:p>
        </w:tc>
        <w:tc>
          <w:tcPr>
            <w:tcW w:w="1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725.40</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5,44</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14.51</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5,44</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4,935</w:t>
            </w:r>
          </w:p>
        </w:tc>
      </w:tr>
      <w:tr>
        <w:trPr>
          <w:trHeight w:val="170" w:hRule="atLeast"/>
        </w:trPr>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№2</w:t>
            </w:r>
          </w:p>
        </w:tc>
        <w:tc>
          <w:tcPr>
            <w:tcW w:w="1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4.54</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0,03</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0.09</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0.03</w:t>
            </w:r>
          </w:p>
        </w:tc>
        <w:tc>
          <w:tcPr>
            <w:tcW w:w="146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0.06</w:t>
            </w:r>
          </w:p>
        </w:tc>
        <w:tc>
          <w:tcPr>
            <w:tcW w:w="1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4.54</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0,03</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0.09</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0.03</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0.06</w:t>
            </w:r>
          </w:p>
        </w:tc>
      </w:tr>
      <w:tr>
        <w:trPr>
          <w:trHeight w:val="170" w:hRule="atLeast"/>
        </w:trPr>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№4</w:t>
            </w:r>
          </w:p>
        </w:tc>
        <w:tc>
          <w:tcPr>
            <w:tcW w:w="1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7.56</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0,06</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0.15</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0.06</w:t>
            </w:r>
          </w:p>
        </w:tc>
        <w:tc>
          <w:tcPr>
            <w:tcW w:w="146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0.10</w:t>
            </w:r>
          </w:p>
        </w:tc>
        <w:tc>
          <w:tcPr>
            <w:tcW w:w="1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7.56</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0,06</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0.15</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0.06</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0.10</w:t>
            </w:r>
          </w:p>
        </w:tc>
      </w:tr>
      <w:tr>
        <w:trPr>
          <w:trHeight w:val="170" w:hRule="atLeast"/>
        </w:trPr>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№5</w:t>
            </w:r>
          </w:p>
        </w:tc>
        <w:tc>
          <w:tcPr>
            <w:tcW w:w="1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120.20</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0,90</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2.40</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0,9</w:t>
            </w:r>
          </w:p>
        </w:tc>
        <w:tc>
          <w:tcPr>
            <w:tcW w:w="146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1.59</w:t>
            </w:r>
          </w:p>
        </w:tc>
        <w:tc>
          <w:tcPr>
            <w:tcW w:w="1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120.20</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0,90</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2.40</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0,9</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1.59</w:t>
            </w:r>
          </w:p>
        </w:tc>
      </w:tr>
      <w:tr>
        <w:trPr>
          <w:trHeight w:val="170" w:hRule="atLeast"/>
        </w:trPr>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№6</w:t>
            </w:r>
          </w:p>
        </w:tc>
        <w:tc>
          <w:tcPr>
            <w:tcW w:w="1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34.02</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0,26</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0.68</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0.26</w:t>
            </w:r>
          </w:p>
        </w:tc>
        <w:tc>
          <w:tcPr>
            <w:tcW w:w="146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0.45</w:t>
            </w:r>
          </w:p>
        </w:tc>
        <w:tc>
          <w:tcPr>
            <w:tcW w:w="1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34.02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0,26</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0.68</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0,26</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0.45</w:t>
            </w:r>
          </w:p>
        </w:tc>
      </w:tr>
      <w:tr>
        <w:trPr>
          <w:trHeight w:val="170" w:hRule="atLeast"/>
        </w:trPr>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№7</w:t>
            </w:r>
          </w:p>
        </w:tc>
        <w:tc>
          <w:tcPr>
            <w:tcW w:w="1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3.02</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sz w:val="20"/>
                <w:szCs w:val="20"/>
              </w:rPr>
            </w:pPr>
            <w:r>
              <w:rPr>
                <w:rFonts w:cs="Arial"/>
                <w:color w:val="000000"/>
                <w:sz w:val="20"/>
                <w:szCs w:val="20"/>
              </w:rPr>
              <w:t>0,02</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0.06</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0.02</w:t>
            </w:r>
          </w:p>
        </w:tc>
        <w:tc>
          <w:tcPr>
            <w:tcW w:w="146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0.04</w:t>
            </w:r>
          </w:p>
        </w:tc>
        <w:tc>
          <w:tcPr>
            <w:tcW w:w="1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3.02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0,02</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0.06</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0,02</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0.04</w:t>
            </w:r>
          </w:p>
        </w:tc>
      </w:tr>
      <w:tr>
        <w:trPr>
          <w:trHeight w:val="170" w:hRule="atLeast"/>
        </w:trPr>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ООО «Газпром энерго»</w:t>
            </w:r>
          </w:p>
        </w:tc>
        <w:tc>
          <w:tcPr>
            <w:tcW w:w="1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23,4</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0,18</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0,47</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0.18</w:t>
            </w:r>
          </w:p>
        </w:tc>
        <w:tc>
          <w:tcPr>
            <w:tcW w:w="146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0,36</w:t>
            </w:r>
          </w:p>
        </w:tc>
        <w:tc>
          <w:tcPr>
            <w:tcW w:w="1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23,4</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0,18</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0,47</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0.18</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0,36</w:t>
            </w:r>
          </w:p>
        </w:tc>
      </w:tr>
      <w:tr>
        <w:trPr>
          <w:trHeight w:val="170" w:hRule="atLeast"/>
        </w:trPr>
        <w:tc>
          <w:tcPr>
            <w:tcW w:w="9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w w:val="90"/>
                <w:sz w:val="20"/>
                <w:szCs w:val="20"/>
              </w:rPr>
              <w:t>Котельная блочная 0,6 МВт «Больница»</w:t>
            </w:r>
          </w:p>
        </w:tc>
        <w:tc>
          <w:tcPr>
            <w:tcW w:w="1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3.02</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0,02</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0,06</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0,02</w:t>
            </w:r>
          </w:p>
        </w:tc>
        <w:tc>
          <w:tcPr>
            <w:tcW w:w="146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0,515</w:t>
            </w:r>
          </w:p>
        </w:tc>
        <w:tc>
          <w:tcPr>
            <w:tcW w:w="1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3.02</w:t>
            </w:r>
          </w:p>
        </w:tc>
        <w:tc>
          <w:tcPr>
            <w:tcW w:w="10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0,02</w:t>
            </w:r>
          </w:p>
        </w:tc>
        <w:tc>
          <w:tcPr>
            <w:tcW w:w="10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0,06</w:t>
            </w:r>
          </w:p>
        </w:tc>
        <w:tc>
          <w:tcPr>
            <w:tcW w:w="18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w:t>
            </w:r>
            <w:r>
              <w:rPr>
                <w:rFonts w:cs="Arial"/>
                <w:color w:val="000000"/>
                <w:sz w:val="20"/>
                <w:szCs w:val="20"/>
              </w:rPr>
              <w:t>0,02</w:t>
            </w:r>
          </w:p>
        </w:tc>
        <w:tc>
          <w:tcPr>
            <w:tcW w:w="14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sz w:val="20"/>
                <w:szCs w:val="20"/>
              </w:rPr>
            </w:pPr>
            <w:r>
              <w:rPr>
                <w:rFonts w:cs="Arial"/>
                <w:color w:val="000000"/>
                <w:sz w:val="20"/>
                <w:szCs w:val="20"/>
              </w:rPr>
              <w:t>0,515</w:t>
            </w:r>
          </w:p>
        </w:tc>
      </w:tr>
    </w:tbl>
    <w:p>
      <w:pPr>
        <w:sectPr>
          <w:footerReference w:type="default" r:id="rId25"/>
          <w:type w:val="nextPage"/>
          <w:pgSz w:orient="landscape" w:w="16838" w:h="11906"/>
          <w:pgMar w:left="1701" w:right="851" w:header="0" w:top="567" w:footer="709" w:bottom="766" w:gutter="0"/>
          <w:pgNumType w:fmt="decimal"/>
          <w:formProt w:val="false"/>
          <w:textDirection w:val="lrTb"/>
          <w:docGrid w:type="default" w:linePitch="360" w:charSpace="4294957055"/>
        </w:sectPr>
      </w:pPr>
    </w:p>
    <w:p>
      <w:pPr>
        <w:pStyle w:val="Normal"/>
        <w:numPr>
          <w:ilvl w:val="0"/>
          <w:numId w:val="1"/>
        </w:numPr>
        <w:spacing w:before="0" w:after="0"/>
        <w:ind w:left="0" w:hanging="0"/>
        <w:contextualSpacing/>
        <w:jc w:val="center"/>
        <w:outlineLvl w:val="0"/>
        <w:rPr>
          <w:rFonts w:cs="Arial"/>
          <w:b/>
          <w:b/>
          <w:szCs w:val="26"/>
          <w:lang w:val="ru-RU" w:eastAsia="ru-RU"/>
        </w:rPr>
      </w:pPr>
      <w:bookmarkStart w:id="48" w:name="_Toc398022669"/>
      <w:bookmarkEnd w:id="48"/>
      <w:r>
        <w:rPr>
          <w:rFonts w:cs="Arial"/>
          <w:b/>
          <w:szCs w:val="26"/>
          <w:lang w:val="ru-RU" w:eastAsia="ru-RU"/>
        </w:rPr>
        <w:t>Предложения по строительству, реконструкции и техническому перевооружению источников тепловой энергии</w:t>
      </w:r>
    </w:p>
    <w:p>
      <w:pPr>
        <w:pStyle w:val="Normal"/>
        <w:numPr>
          <w:ilvl w:val="1"/>
          <w:numId w:val="1"/>
        </w:numPr>
        <w:ind w:left="0" w:hanging="0"/>
        <w:jc w:val="center"/>
        <w:outlineLvl w:val="1"/>
        <w:rPr>
          <w:rFonts w:cs="Arial"/>
          <w:b/>
          <w:b/>
          <w:szCs w:val="26"/>
          <w:lang w:val="ru-RU" w:eastAsia="ru-RU"/>
        </w:rPr>
      </w:pPr>
      <w:bookmarkStart w:id="49" w:name="_Toc398022670"/>
      <w:bookmarkEnd w:id="49"/>
      <w:r>
        <w:rPr>
          <w:rFonts w:cs="Arial"/>
          <w:b/>
          <w:szCs w:val="26"/>
          <w:lang w:val="ru-RU"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p>
    <w:p>
      <w:pPr>
        <w:pStyle w:val="Normal"/>
        <w:rPr>
          <w:rFonts w:cs="Arial"/>
          <w:szCs w:val="26"/>
          <w:lang w:val="ru-RU"/>
        </w:rPr>
      </w:pPr>
      <w:r>
        <w:rPr>
          <w:rFonts w:cs="Arial"/>
          <w:szCs w:val="26"/>
          <w:lang w:val="ru-RU"/>
        </w:rPr>
        <w:t>Строительство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генеральным планом развития п. Туртас не предусмотрено.</w:t>
      </w:r>
    </w:p>
    <w:p>
      <w:pPr>
        <w:pStyle w:val="Normal"/>
        <w:tabs>
          <w:tab w:val="left" w:pos="1140" w:leader="none"/>
        </w:tabs>
        <w:rPr>
          <w:rFonts w:cs="Arial"/>
          <w:szCs w:val="26"/>
          <w:lang w:val="ru-RU"/>
        </w:rPr>
      </w:pPr>
      <w:r>
        <w:rPr>
          <w:rFonts w:cs="Arial"/>
          <w:szCs w:val="26"/>
          <w:lang w:val="ru-RU"/>
        </w:rPr>
        <w:tab/>
      </w:r>
    </w:p>
    <w:p>
      <w:pPr>
        <w:pStyle w:val="Normal"/>
        <w:numPr>
          <w:ilvl w:val="1"/>
          <w:numId w:val="1"/>
        </w:numPr>
        <w:ind w:left="0" w:hanging="0"/>
        <w:jc w:val="center"/>
        <w:outlineLvl w:val="1"/>
        <w:rPr>
          <w:rFonts w:cs="Arial"/>
          <w:b/>
          <w:b/>
          <w:szCs w:val="26"/>
          <w:lang w:val="ru-RU" w:eastAsia="ru-RU"/>
        </w:rPr>
      </w:pPr>
      <w:bookmarkStart w:id="50" w:name="_Toc398022671"/>
      <w:bookmarkEnd w:id="50"/>
      <w:r>
        <w:rPr>
          <w:rFonts w:cs="Arial"/>
          <w:b/>
          <w:szCs w:val="26"/>
          <w:lang w:val="ru-RU"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pPr>
        <w:pStyle w:val="Normal"/>
        <w:rPr>
          <w:rFonts w:cs="Arial"/>
          <w:szCs w:val="26"/>
          <w:lang w:val="ru-RU"/>
        </w:rPr>
      </w:pPr>
      <w:r>
        <w:rPr>
          <w:rFonts w:cs="Arial"/>
          <w:szCs w:val="26"/>
          <w:lang w:val="ru-RU"/>
        </w:rPr>
        <w:t>Исходя из данных генерального плана развития п. Туртас увеличение присоединенной нагрузки планируется на центральную котельную №1 (до 10 Гкал/ч на расчетный срок), что предполагает увеличение установленной мощности котельной с 7,38 Гкал/ч до 12 Гкал/ч. В связи с этим предполагается установка блочно-модульной котельной 12 Гкал/ч на базе старой котельной (до 2030 г.).</w:t>
      </w:r>
    </w:p>
    <w:p>
      <w:pPr>
        <w:pStyle w:val="Normal"/>
        <w:rPr>
          <w:lang w:val="ru-RU"/>
        </w:rPr>
      </w:pPr>
      <w:r>
        <w:rPr>
          <w:rFonts w:cs="Arial"/>
          <w:szCs w:val="26"/>
          <w:lang w:val="ru-RU"/>
        </w:rPr>
        <w:t xml:space="preserve">Стоимость работ по проектированию, монтажу и наладке (согласно </w:t>
      </w:r>
      <w:r>
        <w:rPr>
          <w:rFonts w:cs="Arial"/>
          <w:szCs w:val="26"/>
        </w:rPr>
        <w:t>http</w:t>
      </w:r>
      <w:r>
        <w:rPr>
          <w:rFonts w:cs="Arial"/>
          <w:szCs w:val="26"/>
          <w:lang w:val="ru-RU"/>
        </w:rPr>
        <w:t>://</w:t>
      </w:r>
      <w:r>
        <w:rPr>
          <w:rFonts w:cs="Arial"/>
          <w:szCs w:val="26"/>
        </w:rPr>
        <w:t>www</w:t>
      </w:r>
      <w:r>
        <w:rPr>
          <w:rFonts w:cs="Arial"/>
          <w:szCs w:val="26"/>
          <w:lang w:val="ru-RU"/>
        </w:rPr>
        <w:t>.</w:t>
      </w:r>
      <w:r>
        <w:rPr>
          <w:rFonts w:cs="Arial"/>
          <w:szCs w:val="26"/>
        </w:rPr>
        <w:t>teploelectromontag</w:t>
      </w:r>
      <w:r>
        <w:rPr>
          <w:rFonts w:cs="Arial"/>
          <w:szCs w:val="26"/>
          <w:lang w:val="ru-RU"/>
        </w:rPr>
        <w:t>.</w:t>
      </w:r>
      <w:r>
        <w:rPr>
          <w:rFonts w:cs="Arial"/>
          <w:szCs w:val="26"/>
        </w:rPr>
        <w:t>ru</w:t>
      </w:r>
      <w:r>
        <w:rPr>
          <w:rFonts w:cs="Arial"/>
          <w:szCs w:val="26"/>
          <w:lang w:val="ru-RU"/>
        </w:rPr>
        <w:t>/</w:t>
      </w:r>
      <w:r>
        <w:rPr>
          <w:rFonts w:cs="Arial"/>
          <w:szCs w:val="26"/>
        </w:rPr>
        <w:t>itp</w:t>
      </w:r>
      <w:r>
        <w:rPr>
          <w:rFonts w:cs="Arial"/>
          <w:szCs w:val="26"/>
          <w:lang w:val="ru-RU"/>
        </w:rPr>
        <w:t>/</w:t>
      </w:r>
      <w:r>
        <w:rPr>
          <w:rFonts w:cs="Arial"/>
          <w:szCs w:val="26"/>
        </w:rPr>
        <w:t>index</w:t>
      </w:r>
      <w:r>
        <w:rPr>
          <w:rFonts w:cs="Arial"/>
          <w:szCs w:val="26"/>
          <w:lang w:val="ru-RU"/>
        </w:rPr>
        <w:t>.</w:t>
      </w:r>
      <w:r>
        <w:rPr>
          <w:rFonts w:cs="Arial"/>
          <w:szCs w:val="26"/>
        </w:rPr>
        <w:t>html</w:t>
      </w:r>
      <w:r>
        <w:rPr>
          <w:rFonts w:cs="Arial"/>
          <w:szCs w:val="26"/>
          <w:lang w:val="ru-RU"/>
        </w:rPr>
        <w:t>) приве</w:t>
      </w:r>
      <w:bookmarkStart w:id="51" w:name="_GoBack"/>
      <w:bookmarkEnd w:id="51"/>
      <w:r>
        <w:rPr>
          <w:rFonts w:cs="Arial"/>
          <w:szCs w:val="26"/>
          <w:lang w:val="ru-RU"/>
        </w:rPr>
        <w:t xml:space="preserve">дена в </w:t>
      </w:r>
    </w:p>
    <w:p>
      <w:pPr>
        <w:pStyle w:val="Normal"/>
        <w:suppressLineNumbers/>
        <w:suppressAutoHyphens w:val="true"/>
        <w:jc w:val="right"/>
        <w:textAlignment w:val="baseline"/>
        <w:rPr/>
      </w:pPr>
      <w:r>
        <w:rPr/>
      </w:r>
    </w:p>
    <w:p>
      <w:pPr>
        <w:pStyle w:val="Normal"/>
        <w:rPr>
          <w:lang w:val="ru-RU"/>
        </w:rPr>
      </w:pPr>
      <w:r>
        <w:rPr/>
        <w:fldChar w:fldCharType="begin"/>
      </w:r>
      <w:r>
        <w:instrText> REF _Ref397344552 \h </w:instrText>
      </w:r>
      <w:r>
        <w:fldChar w:fldCharType="separate"/>
      </w:r>
      <w:r/>
      <w:r>
        <w:fldChar w:fldCharType="end"/>
      </w:r>
      <w:r>
        <w:rPr>
          <w:rFonts w:cs="Arial"/>
          <w:szCs w:val="26"/>
          <w:lang w:val="ru-RU"/>
        </w:rPr>
        <w:t>.</w:t>
      </w:r>
    </w:p>
    <w:p>
      <w:pPr>
        <w:pStyle w:val="Normal"/>
        <w:suppressLineNumbers/>
        <w:suppressAutoHyphens w:val="true"/>
        <w:jc w:val="right"/>
        <w:textAlignment w:val="baseline"/>
        <w:rPr>
          <w:rFonts w:cs="Arial"/>
          <w:iCs/>
          <w:szCs w:val="26"/>
          <w:lang w:val="ru-RU" w:eastAsia="zh-CN"/>
        </w:rPr>
      </w:pPr>
      <w:bookmarkStart w:id="52" w:name="_Ref397344552"/>
      <w:bookmarkStart w:id="53" w:name="_Ref397344552"/>
      <w:r>
        <w:rPr>
          <w:rFonts w:cs="Arial"/>
          <w:iCs/>
          <w:szCs w:val="26"/>
          <w:lang w:val="ru-RU" w:eastAsia="zh-CN"/>
        </w:rPr>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14</w:t>
      </w:r>
      <w:r>
        <w:fldChar w:fldCharType="end"/>
      </w:r>
      <w:bookmarkEnd w:id="53"/>
      <w:r>
        <w:rPr>
          <w:rFonts w:cs="Arial"/>
          <w:iCs/>
          <w:szCs w:val="26"/>
          <w:lang w:val="ru-RU" w:eastAsia="zh-CN"/>
        </w:rPr>
        <w:t xml:space="preserve"> – Укрупненная стоимость работ по проектированию, монтажу и наладке объектов теплоснабжения</w:t>
      </w:r>
    </w:p>
    <w:p>
      <w:pPr>
        <w:pStyle w:val="Normal"/>
        <w:suppressLineNumbers/>
        <w:suppressAutoHyphens w:val="true"/>
        <w:textAlignment w:val="baseline"/>
        <w:rPr>
          <w:rFonts w:cs="Arial"/>
          <w:iCs/>
          <w:szCs w:val="26"/>
          <w:lang w:val="ru-RU" w:eastAsia="zh-CN"/>
        </w:rPr>
      </w:pPr>
      <w:r>
        <w:rPr>
          <w:rFonts w:cs="Arial"/>
          <w:iCs/>
          <w:szCs w:val="26"/>
          <w:lang w:val="ru-RU" w:eastAsia="zh-CN"/>
        </w:rPr>
      </w:r>
      <w:r>
        <mc:AlternateContent>
          <mc:Choice Requires="wps">
            <w:drawing>
              <wp:anchor behindDoc="0" distT="0" distB="0" distL="114300" distR="114300" simplePos="0" locked="0" layoutInCell="1" allowOverlap="1" relativeHeight="2">
                <wp:simplePos x="0" y="0"/>
                <wp:positionH relativeFrom="column">
                  <wp:posOffset>-3175</wp:posOffset>
                </wp:positionH>
                <wp:positionV relativeFrom="paragraph">
                  <wp:posOffset>635</wp:posOffset>
                </wp:positionV>
                <wp:extent cx="5938520" cy="1566545"/>
                <wp:effectExtent l="0" t="0" r="0" b="0"/>
                <wp:wrapNone/>
                <wp:docPr id="19" name=""/>
                <a:graphic xmlns:a="http://schemas.openxmlformats.org/drawingml/2006/main">
                  <a:graphicData uri="http://schemas.microsoft.com/office/word/2010/wordprocessingShape">
                    <wps:wsp>
                      <wps:cNvSpPr txBox="1"/>
                      <wps:spPr>
                        <a:xfrm>
                          <a:off x="0" y="0"/>
                          <a:ext cx="5938520" cy="1566545"/>
                        </a:xfrm>
                        <a:prstGeom prst="rect"/>
                      </wps:spPr>
                      <wps:txbx>
                        <w:txbxContent>
                          <w:tbl>
                            <w:tblPr>
                              <w:tblW w:w="5000" w:type="pct"/>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4a0"/>
                            </w:tblPr>
                            <w:tblGrid>
                              <w:gridCol w:w="7131"/>
                              <w:gridCol w:w="1932"/>
                            </w:tblGrid>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1.Проектирование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440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2.Проектирование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220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Проектирование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220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Монтаж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2500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Монтаж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1600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Монтаж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1600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и режимная наладка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150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для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140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для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140 рублей/кВт.</w:t>
                                  </w:r>
                                </w:p>
                              </w:tc>
                            </w:tr>
                          </w:tbl>
                          <w:p>
                            <w:pPr>
                              <w:pStyle w:val="Style45"/>
                              <w:rPr/>
                            </w:pPr>
                            <w:r>
                              <w:rPr/>
                            </w:r>
                          </w:p>
                        </w:txbxContent>
                      </wps:txbx>
                      <wps:bodyPr anchor="t" lIns="91440" tIns="45720" rIns="91440" bIns="45720">
                        <a:noAutofit/>
                      </wps:bodyPr>
                    </wps:wsp>
                  </a:graphicData>
                </a:graphic>
              </wp:anchor>
            </w:drawing>
          </mc:Choice>
          <mc:Fallback>
            <w:pict>
              <v:rect stroked="f" strokeweight="0pt" style="position:absolute;rotation:0;width:467.6pt;height:123.35pt;mso-wrap-distance-left:9pt;mso-wrap-distance-right:9pt;mso-wrap-distance-top:0pt;mso-wrap-distance-bottom:0pt;margin-top:0.05pt;mso-position-vertical-relative:text;margin-left:-0.25pt;mso-position-horizontal-relative:text">
                <v:textbox>
                  <w:txbxContent>
                    <w:tbl>
                      <w:tblPr>
                        <w:tblW w:w="5000" w:type="pct"/>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4a0"/>
                      </w:tblPr>
                      <w:tblGrid>
                        <w:gridCol w:w="7131"/>
                        <w:gridCol w:w="1932"/>
                      </w:tblGrid>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1.Проектирование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440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2.Проектирование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220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Проектирование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220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Монтаж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2500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Монтаж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1600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Монтаж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1600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и режимная наладка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150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для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140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для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140 рублей/кВт.</w:t>
                            </w:r>
                          </w:p>
                        </w:tc>
                      </w:tr>
                    </w:tbl>
                    <w:p>
                      <w:pPr>
                        <w:pStyle w:val="Style45"/>
                        <w:rPr/>
                      </w:pPr>
                      <w:r>
                        <w:rPr/>
                      </w:r>
                    </w:p>
                  </w:txbxContent>
                </v:textbox>
              </v:rect>
            </w:pict>
          </mc:Fallback>
        </mc:AlternateContent>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15</w:t>
      </w:r>
      <w:r>
        <w:fldChar w:fldCharType="end"/>
      </w:r>
      <w:r>
        <w:rPr>
          <w:rFonts w:cs="Arial"/>
          <w:iCs/>
          <w:szCs w:val="26"/>
          <w:lang w:val="ru-RU" w:eastAsia="zh-CN"/>
        </w:rPr>
        <w:t>– Расчетная стоимость внедрения БМК</w:t>
      </w:r>
    </w:p>
    <w:p>
      <w:pPr>
        <w:pStyle w:val="Normal"/>
        <w:suppressLineNumbers/>
        <w:suppressAutoHyphens w:val="true"/>
        <w:jc w:val="right"/>
        <w:textAlignment w:val="baseline"/>
        <w:rPr>
          <w:rFonts w:cs="Arial"/>
          <w:iCs/>
          <w:szCs w:val="26"/>
          <w:lang w:val="ru-RU" w:eastAsia="zh-CN"/>
        </w:rPr>
      </w:pPr>
      <w:r>
        <w:rPr>
          <w:rFonts w:cs="Arial"/>
          <w:iCs/>
          <w:szCs w:val="26"/>
          <w:lang w:val="ru-RU" w:eastAsia="zh-CN"/>
        </w:rPr>
        <w:t xml:space="preserve"> </w:t>
      </w:r>
      <w:r>
        <w:rPr>
          <w:rFonts w:cs="Arial"/>
          <w:iCs/>
          <w:szCs w:val="26"/>
          <w:lang w:val="ru-RU" w:eastAsia="zh-CN"/>
        </w:rPr>
        <w:t>на базе котельной №1</w:t>
      </w:r>
    </w:p>
    <w:tbl>
      <w:tblPr>
        <w:tblW w:w="5000" w:type="pct"/>
        <w:jc w:val="left"/>
        <w:tblInd w:w="-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68" w:type="dxa"/>
          <w:bottom w:w="0" w:type="dxa"/>
          <w:right w:w="108" w:type="dxa"/>
        </w:tblCellMar>
        <w:tblLook w:val="04a0"/>
      </w:tblPr>
      <w:tblGrid>
        <w:gridCol w:w="1647"/>
        <w:gridCol w:w="1290"/>
        <w:gridCol w:w="2181"/>
        <w:gridCol w:w="1397"/>
        <w:gridCol w:w="1452"/>
        <w:gridCol w:w="1386"/>
      </w:tblGrid>
      <w:tr>
        <w:trPr>
          <w:trHeight w:val="20" w:hRule="atLeast"/>
        </w:trPr>
        <w:tc>
          <w:tcPr>
            <w:tcW w:w="164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68" w:type="dxa"/>
            </w:tcMar>
            <w:vAlign w:val="center"/>
          </w:tcPr>
          <w:p>
            <w:pPr>
              <w:pStyle w:val="Normal"/>
              <w:ind w:hanging="0"/>
              <w:jc w:val="center"/>
              <w:rPr>
                <w:rFonts w:cs="Arial"/>
                <w:b/>
                <w:b/>
                <w:bCs/>
                <w:color w:val="000000"/>
                <w:sz w:val="20"/>
                <w:szCs w:val="20"/>
              </w:rPr>
            </w:pPr>
            <w:r>
              <w:rPr>
                <w:rFonts w:cs="Arial"/>
                <w:b/>
                <w:bCs/>
                <w:color w:val="000000"/>
                <w:sz w:val="20"/>
                <w:szCs w:val="20"/>
              </w:rPr>
              <w:t>Котельная</w:t>
            </w:r>
          </w:p>
        </w:tc>
        <w:tc>
          <w:tcPr>
            <w:tcW w:w="129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Проект, тыс.р.</w:t>
            </w:r>
          </w:p>
        </w:tc>
        <w:tc>
          <w:tcPr>
            <w:tcW w:w="2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Оборудование, тыс.р</w:t>
            </w:r>
          </w:p>
        </w:tc>
        <w:tc>
          <w:tcPr>
            <w:tcW w:w="13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Монтаж, тыс.р.</w:t>
            </w:r>
          </w:p>
        </w:tc>
        <w:tc>
          <w:tcPr>
            <w:tcW w:w="14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Наладка, тыс.р.</w:t>
            </w:r>
          </w:p>
        </w:tc>
        <w:tc>
          <w:tcPr>
            <w:tcW w:w="13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Итого, тыс.р.</w:t>
            </w:r>
          </w:p>
        </w:tc>
      </w:tr>
      <w:tr>
        <w:trPr>
          <w:trHeight w:val="20" w:hRule="atLeast"/>
        </w:trPr>
        <w:tc>
          <w:tcPr>
            <w:tcW w:w="164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БМК№1</w:t>
            </w:r>
          </w:p>
        </w:tc>
        <w:tc>
          <w:tcPr>
            <w:tcW w:w="129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6140,640</w:t>
            </w:r>
          </w:p>
        </w:tc>
        <w:tc>
          <w:tcPr>
            <w:tcW w:w="2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35000,0</w:t>
            </w:r>
          </w:p>
        </w:tc>
        <w:tc>
          <w:tcPr>
            <w:tcW w:w="13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34890,0</w:t>
            </w:r>
          </w:p>
        </w:tc>
        <w:tc>
          <w:tcPr>
            <w:tcW w:w="14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2093,4</w:t>
            </w:r>
          </w:p>
        </w:tc>
        <w:tc>
          <w:tcPr>
            <w:tcW w:w="13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78124.04</w:t>
            </w:r>
          </w:p>
        </w:tc>
      </w:tr>
      <w:tr>
        <w:trPr>
          <w:trHeight w:val="23" w:hRule="exact"/>
        </w:trPr>
        <w:tc>
          <w:tcPr>
            <w:tcW w:w="164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r>
          </w:p>
        </w:tc>
        <w:tc>
          <w:tcPr>
            <w:tcW w:w="129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r>
          </w:p>
        </w:tc>
        <w:tc>
          <w:tcPr>
            <w:tcW w:w="2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r>
          </w:p>
        </w:tc>
        <w:tc>
          <w:tcPr>
            <w:tcW w:w="13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r>
          </w:p>
        </w:tc>
        <w:tc>
          <w:tcPr>
            <w:tcW w:w="14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r>
          </w:p>
        </w:tc>
        <w:tc>
          <w:tcPr>
            <w:tcW w:w="13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r>
          </w:p>
        </w:tc>
      </w:tr>
    </w:tbl>
    <w:p>
      <w:pPr>
        <w:pStyle w:val="Normal"/>
        <w:numPr>
          <w:ilvl w:val="0"/>
          <w:numId w:val="0"/>
        </w:numPr>
        <w:ind w:hanging="0"/>
        <w:outlineLvl w:val="1"/>
        <w:rPr>
          <w:rFonts w:cs="Arial"/>
          <w:b/>
          <w:b/>
          <w:szCs w:val="26"/>
          <w:lang w:val="ru-RU" w:eastAsia="ru-RU"/>
        </w:rPr>
      </w:pPr>
      <w:r>
        <w:rPr>
          <w:rFonts w:cs="Arial"/>
          <w:b/>
          <w:szCs w:val="26"/>
          <w:lang w:val="ru-RU" w:eastAsia="ru-RU"/>
        </w:rPr>
      </w:r>
    </w:p>
    <w:p>
      <w:pPr>
        <w:pStyle w:val="Normal"/>
        <w:numPr>
          <w:ilvl w:val="1"/>
          <w:numId w:val="1"/>
        </w:numPr>
        <w:ind w:left="0" w:hanging="0"/>
        <w:jc w:val="center"/>
        <w:outlineLvl w:val="1"/>
        <w:rPr>
          <w:rFonts w:cs="Arial"/>
          <w:b/>
          <w:b/>
          <w:szCs w:val="26"/>
          <w:lang w:val="ru-RU" w:eastAsia="ru-RU"/>
        </w:rPr>
      </w:pPr>
      <w:r>
        <w:rPr>
          <w:rFonts w:cs="Arial"/>
          <w:b/>
          <w:szCs w:val="26"/>
          <w:lang w:val="ru-RU" w:eastAsia="ru-RU"/>
        </w:rPr>
        <w:t>Предложения по техническому перевооружению источников тепловой энергии с целью повышения эффективности работы систем теплоснабжения</w:t>
      </w:r>
    </w:p>
    <w:p>
      <w:pPr>
        <w:pStyle w:val="Normal"/>
        <w:suppressLineNumbers/>
        <w:suppressAutoHyphens w:val="true"/>
        <w:textAlignment w:val="baseline"/>
        <w:rPr>
          <w:rFonts w:cs="Arial"/>
          <w:iCs/>
          <w:szCs w:val="26"/>
          <w:lang w:val="ru-RU" w:eastAsia="zh-CN"/>
        </w:rPr>
      </w:pPr>
      <w:r>
        <w:rPr>
          <w:rFonts w:cs="Arial"/>
          <w:iCs/>
          <w:szCs w:val="26"/>
          <w:lang w:val="ru-RU" w:eastAsia="zh-CN"/>
        </w:rPr>
        <w:t>На первую очередь (до 2020г.) планируется реконструкция котельных №6 и №7 в связи с моральным и физическим износом основного оборудования котельных (срок ввода в эксплуатацию 1978 г и 1986 г соответственно). Реконструкция предполагает замена устаревших котлоагрегатов на новые с аналогичной мощностью.</w:t>
      </w:r>
    </w:p>
    <w:p>
      <w:pPr>
        <w:pStyle w:val="Normal"/>
        <w:suppressLineNumbers/>
        <w:suppressAutoHyphens w:val="true"/>
        <w:jc w:val="right"/>
        <w:textAlignment w:val="baseline"/>
        <w:rPr>
          <w:rFonts w:cs="Arial"/>
          <w:iCs/>
          <w:szCs w:val="26"/>
          <w:lang w:val="ru-RU" w:eastAsia="zh-CN"/>
        </w:rPr>
      </w:pPr>
      <w:r>
        <w:rPr>
          <w:rFonts w:cs="Arial"/>
          <w:iCs/>
          <w:szCs w:val="26"/>
          <w:lang w:val="ru-RU" w:eastAsia="zh-CN"/>
        </w:rPr>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16</w:t>
      </w:r>
      <w:r>
        <w:fldChar w:fldCharType="end"/>
      </w:r>
      <w:r>
        <w:rPr>
          <w:rFonts w:cs="Arial"/>
          <w:iCs/>
          <w:szCs w:val="26"/>
          <w:lang w:val="ru-RU" w:eastAsia="zh-CN"/>
        </w:rPr>
        <w:t xml:space="preserve"> – Стоимость замены котлоагрегатов котельных №6 и №7 </w:t>
      </w:r>
    </w:p>
    <w:tbl>
      <w:tblPr>
        <w:tblW w:w="5000" w:type="pct"/>
        <w:jc w:val="left"/>
        <w:tblInd w:w="-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68" w:type="dxa"/>
          <w:bottom w:w="0" w:type="dxa"/>
          <w:right w:w="108" w:type="dxa"/>
        </w:tblCellMar>
        <w:tblLook w:val="04a0"/>
      </w:tblPr>
      <w:tblGrid>
        <w:gridCol w:w="1766"/>
        <w:gridCol w:w="1170"/>
        <w:gridCol w:w="2181"/>
        <w:gridCol w:w="1398"/>
        <w:gridCol w:w="1451"/>
        <w:gridCol w:w="1387"/>
      </w:tblGrid>
      <w:tr>
        <w:trPr>
          <w:trHeight w:val="20" w:hRule="atLeast"/>
        </w:trPr>
        <w:tc>
          <w:tcPr>
            <w:tcW w:w="176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68" w:type="dxa"/>
            </w:tcMar>
            <w:vAlign w:val="center"/>
          </w:tcPr>
          <w:p>
            <w:pPr>
              <w:pStyle w:val="Normal"/>
              <w:ind w:hanging="0"/>
              <w:jc w:val="center"/>
              <w:rPr>
                <w:rFonts w:cs="Arial"/>
                <w:b/>
                <w:b/>
                <w:bCs/>
                <w:color w:val="000000"/>
                <w:sz w:val="20"/>
                <w:szCs w:val="20"/>
              </w:rPr>
            </w:pPr>
            <w:r>
              <w:rPr>
                <w:rFonts w:cs="Arial"/>
                <w:b/>
                <w:bCs/>
                <w:color w:val="000000"/>
                <w:sz w:val="20"/>
                <w:szCs w:val="20"/>
              </w:rPr>
              <w:t>Котельная</w:t>
            </w:r>
          </w:p>
        </w:tc>
        <w:tc>
          <w:tcPr>
            <w:tcW w:w="11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Проект, тыс.р.</w:t>
            </w:r>
          </w:p>
        </w:tc>
        <w:tc>
          <w:tcPr>
            <w:tcW w:w="2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Оборудование, тыс.р</w:t>
            </w:r>
          </w:p>
        </w:tc>
        <w:tc>
          <w:tcPr>
            <w:tcW w:w="139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Монтаж, тыс.р.</w:t>
            </w:r>
          </w:p>
        </w:tc>
        <w:tc>
          <w:tcPr>
            <w:tcW w:w="145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Наладка, тыс.р.</w:t>
            </w:r>
          </w:p>
        </w:tc>
        <w:tc>
          <w:tcPr>
            <w:tcW w:w="138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Итого, тыс.р.</w:t>
            </w:r>
          </w:p>
        </w:tc>
      </w:tr>
      <w:tr>
        <w:trPr>
          <w:trHeight w:val="20" w:hRule="atLeast"/>
        </w:trPr>
        <w:tc>
          <w:tcPr>
            <w:tcW w:w="1766"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Котельная №6</w:t>
            </w:r>
          </w:p>
        </w:tc>
        <w:tc>
          <w:tcPr>
            <w:tcW w:w="1170"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747.111</w:t>
            </w:r>
          </w:p>
        </w:tc>
        <w:tc>
          <w:tcPr>
            <w:tcW w:w="2181"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4500</w:t>
            </w:r>
          </w:p>
        </w:tc>
        <w:tc>
          <w:tcPr>
            <w:tcW w:w="1398"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4244.95</w:t>
            </w:r>
          </w:p>
        </w:tc>
        <w:tc>
          <w:tcPr>
            <w:tcW w:w="1451"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254.697</w:t>
            </w:r>
          </w:p>
        </w:tc>
        <w:tc>
          <w:tcPr>
            <w:tcW w:w="1387"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vAlign w:val="bottom"/>
          </w:tcPr>
          <w:p>
            <w:pPr>
              <w:pStyle w:val="Normal"/>
              <w:ind w:hanging="0"/>
              <w:jc w:val="center"/>
              <w:rPr>
                <w:rFonts w:cs="Arial"/>
                <w:color w:val="000000"/>
                <w:sz w:val="20"/>
                <w:szCs w:val="20"/>
              </w:rPr>
            </w:pPr>
            <w:r>
              <w:rPr>
                <w:rFonts w:cs="Arial"/>
                <w:color w:val="000000"/>
                <w:sz w:val="20"/>
                <w:szCs w:val="20"/>
              </w:rPr>
              <w:t>9746.758</w:t>
            </w:r>
          </w:p>
        </w:tc>
      </w:tr>
      <w:tr>
        <w:trPr>
          <w:trHeight w:val="20" w:hRule="atLeast"/>
        </w:trPr>
        <w:tc>
          <w:tcPr>
            <w:tcW w:w="1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Котельная №7</w:t>
            </w:r>
          </w:p>
        </w:tc>
        <w:tc>
          <w:tcPr>
            <w:tcW w:w="11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373.556</w:t>
            </w:r>
          </w:p>
        </w:tc>
        <w:tc>
          <w:tcPr>
            <w:tcW w:w="21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2200</w:t>
            </w:r>
          </w:p>
        </w:tc>
        <w:tc>
          <w:tcPr>
            <w:tcW w:w="13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2122.48</w:t>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127.348</w:t>
            </w:r>
          </w:p>
        </w:tc>
        <w:tc>
          <w:tcPr>
            <w:tcW w:w="13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4823.38</w:t>
            </w:r>
          </w:p>
        </w:tc>
      </w:tr>
    </w:tbl>
    <w:p>
      <w:pPr>
        <w:pStyle w:val="Normal"/>
        <w:numPr>
          <w:ilvl w:val="0"/>
          <w:numId w:val="0"/>
        </w:numPr>
        <w:ind w:hanging="0"/>
        <w:outlineLvl w:val="1"/>
        <w:rPr>
          <w:rFonts w:cs="Arial"/>
          <w:b/>
          <w:b/>
          <w:szCs w:val="26"/>
          <w:lang w:val="ru-RU" w:eastAsia="ru-RU"/>
        </w:rPr>
      </w:pPr>
      <w:r>
        <w:rPr>
          <w:rFonts w:cs="Arial"/>
          <w:b/>
          <w:szCs w:val="26"/>
          <w:lang w:val="ru-RU" w:eastAsia="ru-RU"/>
        </w:rPr>
      </w:r>
    </w:p>
    <w:p>
      <w:pPr>
        <w:pStyle w:val="Normal"/>
        <w:numPr>
          <w:ilvl w:val="1"/>
          <w:numId w:val="1"/>
        </w:numPr>
        <w:ind w:left="0" w:hanging="0"/>
        <w:jc w:val="center"/>
        <w:outlineLvl w:val="1"/>
        <w:rPr>
          <w:rFonts w:cs="Arial"/>
          <w:b/>
          <w:b/>
          <w:szCs w:val="26"/>
          <w:lang w:val="ru-RU" w:eastAsia="ru-RU"/>
        </w:rPr>
      </w:pPr>
      <w:r>
        <w:rPr>
          <w:rFonts w:cs="Arial"/>
          <w:b/>
          <w:szCs w:val="26"/>
          <w:lang w:val="ru-RU"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pPr>
        <w:pStyle w:val="Normal"/>
        <w:rPr>
          <w:rFonts w:cs="Arial"/>
          <w:szCs w:val="26"/>
          <w:lang w:val="ru-RU"/>
        </w:rPr>
      </w:pPr>
      <w:r>
        <w:rPr>
          <w:rFonts w:cs="Arial"/>
          <w:szCs w:val="26"/>
          <w:lang w:val="ru-RU"/>
        </w:rPr>
        <w:t>В п. Туртас отсутствуют источники с комбинированной выработкой тепловой и электрической энергией. 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согласно генерального плана, проводиться не будет.</w:t>
      </w:r>
    </w:p>
    <w:p>
      <w:pPr>
        <w:pStyle w:val="Normal"/>
        <w:rPr>
          <w:rFonts w:cs="Arial"/>
          <w:szCs w:val="26"/>
          <w:lang w:val="ru-RU"/>
        </w:rPr>
      </w:pPr>
      <w:r>
        <w:rPr>
          <w:rFonts w:cs="Arial"/>
          <w:szCs w:val="26"/>
          <w:lang w:val="ru-RU"/>
        </w:rPr>
      </w:r>
    </w:p>
    <w:p>
      <w:pPr>
        <w:pStyle w:val="Normal"/>
        <w:numPr>
          <w:ilvl w:val="1"/>
          <w:numId w:val="1"/>
        </w:numPr>
        <w:ind w:left="0" w:hanging="0"/>
        <w:jc w:val="center"/>
        <w:outlineLvl w:val="1"/>
        <w:rPr>
          <w:rFonts w:eastAsia="MS Mincho" w:cs="Arial"/>
          <w:b/>
          <w:b/>
          <w:szCs w:val="26"/>
          <w:lang w:val="ru-RU" w:eastAsia="ru-RU"/>
        </w:rPr>
      </w:pPr>
      <w:bookmarkStart w:id="54" w:name="_Toc398022674"/>
      <w:bookmarkEnd w:id="54"/>
      <w:r>
        <w:rPr>
          <w:rFonts w:eastAsia="MS Mincho" w:cs="Arial"/>
          <w:b/>
          <w:szCs w:val="26"/>
          <w:lang w:val="ru-RU" w:eastAsia="ru-RU"/>
        </w:rPr>
        <w:t>Меры по переоборудованию котельных в источники комбинированной выработки электрической и тепловой энергии для каждого этапа</w:t>
      </w:r>
    </w:p>
    <w:p>
      <w:pPr>
        <w:pStyle w:val="Normal"/>
        <w:rPr>
          <w:rFonts w:eastAsia="MS Mincho" w:cs="Arial"/>
          <w:szCs w:val="26"/>
          <w:lang w:val="ru-RU"/>
        </w:rPr>
      </w:pPr>
      <w:r>
        <w:rPr>
          <w:rFonts w:eastAsia="MS Mincho" w:cs="Arial"/>
          <w:szCs w:val="26"/>
          <w:lang w:val="ru-RU"/>
        </w:rPr>
        <w:t>Переоборудование котельных в источники комбинированной выработки электрической и тепловой энергии не планируется.</w:t>
      </w:r>
    </w:p>
    <w:p>
      <w:pPr>
        <w:pStyle w:val="Normal"/>
        <w:rPr>
          <w:rFonts w:eastAsia="MS Mincho" w:cs="Arial"/>
          <w:szCs w:val="26"/>
          <w:lang w:val="ru-RU"/>
        </w:rPr>
      </w:pPr>
      <w:r>
        <w:rPr>
          <w:rFonts w:eastAsia="MS Mincho" w:cs="Arial"/>
          <w:szCs w:val="26"/>
          <w:lang w:val="ru-RU"/>
        </w:rPr>
      </w:r>
    </w:p>
    <w:p>
      <w:pPr>
        <w:pStyle w:val="Normal"/>
        <w:numPr>
          <w:ilvl w:val="1"/>
          <w:numId w:val="1"/>
        </w:numPr>
        <w:ind w:left="0" w:hanging="0"/>
        <w:jc w:val="center"/>
        <w:outlineLvl w:val="1"/>
        <w:rPr>
          <w:rFonts w:eastAsia="MS Mincho" w:cs="Arial"/>
          <w:b/>
          <w:b/>
          <w:szCs w:val="26"/>
          <w:lang w:val="ru-RU" w:eastAsia="ru-RU"/>
        </w:rPr>
      </w:pPr>
      <w:bookmarkStart w:id="55" w:name="_Toc398022675"/>
      <w:bookmarkEnd w:id="55"/>
      <w:r>
        <w:rPr>
          <w:rFonts w:eastAsia="MS Mincho" w:cs="Arial"/>
          <w:b/>
          <w:szCs w:val="26"/>
          <w:lang w:val="ru-RU" w:eastAsia="ru-RU"/>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pPr>
        <w:pStyle w:val="Normal"/>
        <w:rPr>
          <w:rFonts w:cs="Arial"/>
          <w:szCs w:val="26"/>
          <w:lang w:val="ru-RU"/>
        </w:rPr>
      </w:pPr>
      <w:r>
        <w:rPr>
          <w:rFonts w:cs="Arial"/>
          <w:szCs w:val="26"/>
          <w:lang w:val="ru-RU"/>
        </w:rPr>
        <w:t>В п. Туртас отсутствуют источники с комбинированной выработкой тепловой и электрической энергией.</w:t>
      </w:r>
    </w:p>
    <w:p>
      <w:pPr>
        <w:pStyle w:val="Normal"/>
        <w:rPr>
          <w:rFonts w:cs="Arial"/>
          <w:szCs w:val="26"/>
          <w:lang w:val="ru-RU"/>
        </w:rPr>
      </w:pPr>
      <w:r>
        <w:rPr>
          <w:rFonts w:cs="Arial"/>
          <w:szCs w:val="26"/>
          <w:lang w:val="ru-RU"/>
        </w:rPr>
      </w:r>
    </w:p>
    <w:p>
      <w:pPr>
        <w:pStyle w:val="Normal"/>
        <w:numPr>
          <w:ilvl w:val="1"/>
          <w:numId w:val="1"/>
        </w:numPr>
        <w:ind w:left="0" w:hanging="0"/>
        <w:jc w:val="center"/>
        <w:outlineLvl w:val="1"/>
        <w:rPr>
          <w:rFonts w:eastAsia="MS Mincho" w:cs="Arial"/>
          <w:b/>
          <w:b/>
          <w:szCs w:val="26"/>
          <w:lang w:val="ru-RU" w:eastAsia="ru-RU"/>
        </w:rPr>
      </w:pPr>
      <w:bookmarkStart w:id="56" w:name="_Toc398022676"/>
      <w:bookmarkEnd w:id="56"/>
      <w:r>
        <w:rPr>
          <w:rFonts w:eastAsia="MS Mincho" w:cs="Arial"/>
          <w:b/>
          <w:szCs w:val="26"/>
          <w:lang w:val="ru-RU" w:eastAsia="ru-RU"/>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pPr>
        <w:pStyle w:val="Normal"/>
        <w:rPr>
          <w:rFonts w:eastAsia="MS Mincho" w:cs="Arial"/>
          <w:szCs w:val="26"/>
          <w:lang w:val="ru-RU"/>
        </w:rPr>
      </w:pPr>
      <w:r>
        <w:rPr>
          <w:rFonts w:eastAsia="MS Mincho" w:cs="Arial"/>
          <w:szCs w:val="26"/>
          <w:lang w:val="ru-RU"/>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генеральным планом не предусмотрено.</w:t>
      </w:r>
    </w:p>
    <w:p>
      <w:pPr>
        <w:pStyle w:val="Normal"/>
        <w:rPr>
          <w:rFonts w:eastAsia="MS Mincho" w:cs="Arial"/>
          <w:szCs w:val="26"/>
          <w:lang w:val="ru-RU"/>
        </w:rPr>
      </w:pPr>
      <w:r>
        <w:rPr>
          <w:rFonts w:eastAsia="MS Mincho" w:cs="Arial"/>
          <w:szCs w:val="26"/>
          <w:lang w:val="ru-RU"/>
        </w:rPr>
      </w:r>
    </w:p>
    <w:p>
      <w:pPr>
        <w:pStyle w:val="Normal"/>
        <w:numPr>
          <w:ilvl w:val="1"/>
          <w:numId w:val="1"/>
        </w:numPr>
        <w:ind w:left="0" w:hanging="0"/>
        <w:jc w:val="center"/>
        <w:outlineLvl w:val="1"/>
        <w:rPr>
          <w:rFonts w:eastAsia="MS Mincho" w:cs="Arial"/>
          <w:b/>
          <w:b/>
          <w:szCs w:val="26"/>
          <w:lang w:val="ru-RU" w:eastAsia="ru-RU"/>
        </w:rPr>
      </w:pPr>
      <w:bookmarkStart w:id="57" w:name="_Toc398022677"/>
      <w:bookmarkEnd w:id="57"/>
      <w:r>
        <w:rPr>
          <w:rFonts w:eastAsia="MS Mincho" w:cs="Arial"/>
          <w:b/>
          <w:szCs w:val="26"/>
          <w:lang w:val="ru-RU" w:eastAsia="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tbl>
      <w:tblPr>
        <w:tblStyle w:val="afffff3"/>
        <w:tblW w:w="9570" w:type="dxa"/>
        <w:jc w:val="left"/>
        <w:tblInd w:w="-15" w:type="dxa"/>
        <w:tblCellMar>
          <w:top w:w="0" w:type="dxa"/>
          <w:left w:w="93" w:type="dxa"/>
          <w:bottom w:w="0" w:type="dxa"/>
          <w:right w:w="108" w:type="dxa"/>
        </w:tblCellMar>
        <w:tblLook w:val="04a0"/>
      </w:tblPr>
      <w:tblGrid>
        <w:gridCol w:w="4785"/>
        <w:gridCol w:w="4784"/>
      </w:tblGrid>
      <w:tr>
        <w:trPr>
          <w:trHeight w:val="20" w:hRule="atLeast"/>
        </w:trPr>
        <w:tc>
          <w:tcPr>
            <w:tcW w:w="4785" w:type="dxa"/>
            <w:tcBorders/>
            <w:shd w:color="auto" w:fill="auto" w:val="clear"/>
            <w:tcMar>
              <w:left w:w="93" w:type="dxa"/>
            </w:tcMar>
            <w:vAlign w:val="bottom"/>
          </w:tcPr>
          <w:p>
            <w:pPr>
              <w:pStyle w:val="Normal"/>
              <w:spacing w:lineRule="auto" w:line="240"/>
              <w:ind w:hanging="0"/>
              <w:jc w:val="center"/>
              <w:rPr>
                <w:rFonts w:cs="Arial"/>
                <w:b/>
                <w:b/>
                <w:bCs/>
                <w:color w:val="000000"/>
                <w:sz w:val="20"/>
                <w:szCs w:val="20"/>
              </w:rPr>
            </w:pPr>
            <w:r>
              <w:rPr>
                <w:rFonts w:cs="Arial" w:ascii="Calibri" w:hAnsi="Calibri"/>
                <w:b/>
                <w:bCs/>
                <w:color w:val="000000"/>
                <w:sz w:val="20"/>
                <w:szCs w:val="20"/>
                <w:lang w:eastAsia="ru-RU"/>
              </w:rPr>
              <w:t>Источник</w:t>
            </w:r>
          </w:p>
        </w:tc>
        <w:tc>
          <w:tcPr>
            <w:tcW w:w="4784" w:type="dxa"/>
            <w:tcBorders/>
            <w:shd w:color="auto" w:fill="auto" w:val="clear"/>
            <w:tcMar>
              <w:left w:w="93" w:type="dxa"/>
            </w:tcMar>
            <w:vAlign w:val="center"/>
          </w:tcPr>
          <w:p>
            <w:pPr>
              <w:pStyle w:val="Normal"/>
              <w:spacing w:lineRule="auto" w:line="240"/>
              <w:ind w:hanging="0"/>
              <w:jc w:val="center"/>
              <w:rPr>
                <w:rFonts w:cs="Arial"/>
                <w:b/>
                <w:b/>
                <w:bCs/>
                <w:color w:val="000000"/>
                <w:sz w:val="20"/>
                <w:szCs w:val="20"/>
              </w:rPr>
            </w:pPr>
            <w:r>
              <w:rPr>
                <w:rFonts w:cs="Arial" w:ascii="Calibri" w:hAnsi="Calibri"/>
                <w:b/>
                <w:bCs/>
                <w:color w:val="000000"/>
                <w:sz w:val="20"/>
                <w:szCs w:val="20"/>
                <w:lang w:eastAsia="ru-RU"/>
              </w:rPr>
              <w:t>Оптимальный температурный график, °С</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№1</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82/70</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№2</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86/62</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№4</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90/70</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№5</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76/59</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№6</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90/70</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№7</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90/70</w:t>
            </w:r>
          </w:p>
        </w:tc>
      </w:tr>
      <w:tr>
        <w:trPr>
          <w:trHeight w:val="20" w:hRule="atLeast"/>
        </w:trPr>
        <w:tc>
          <w:tcPr>
            <w:tcW w:w="4785" w:type="dxa"/>
            <w:tcBorders/>
            <w:shd w:color="auto" w:fill="auto" w:val="clear"/>
            <w:tcMar>
              <w:left w:w="93" w:type="dxa"/>
            </w:tcMar>
            <w:vAlign w:val="bottom"/>
          </w:tcPr>
          <w:p>
            <w:pPr>
              <w:pStyle w:val="Normal"/>
              <w:spacing w:lineRule="auto" w:line="240"/>
              <w:ind w:hanging="0"/>
              <w:jc w:val="left"/>
              <w:rPr>
                <w:rFonts w:cs="Arial"/>
                <w:color w:val="000000"/>
                <w:sz w:val="20"/>
                <w:szCs w:val="20"/>
              </w:rPr>
            </w:pPr>
            <w:r>
              <w:rPr>
                <w:rFonts w:cs="Arial" w:ascii="Calibri" w:hAnsi="Calibri"/>
                <w:color w:val="000000"/>
                <w:sz w:val="20"/>
                <w:szCs w:val="20"/>
                <w:lang w:eastAsia="ru-RU"/>
              </w:rPr>
              <w:t>Котельная ООО «Газпром энерго»</w:t>
            </w:r>
          </w:p>
        </w:tc>
        <w:tc>
          <w:tcPr>
            <w:tcW w:w="4784" w:type="dxa"/>
            <w:tcBorders/>
            <w:shd w:color="auto" w:fill="auto" w:val="clear"/>
            <w:tcMar>
              <w:left w:w="93" w:type="dxa"/>
            </w:tcMar>
            <w:vAlign w:val="center"/>
          </w:tcPr>
          <w:p>
            <w:pPr>
              <w:pStyle w:val="Normal"/>
              <w:spacing w:lineRule="auto" w:line="240"/>
              <w:ind w:hanging="0"/>
              <w:jc w:val="center"/>
              <w:rPr>
                <w:rFonts w:cs="Arial"/>
                <w:color w:val="000000"/>
                <w:sz w:val="20"/>
                <w:szCs w:val="20"/>
              </w:rPr>
            </w:pPr>
            <w:r>
              <w:rPr>
                <w:rFonts w:cs="Arial" w:ascii="Calibri" w:hAnsi="Calibri"/>
                <w:color w:val="000000"/>
                <w:sz w:val="20"/>
                <w:szCs w:val="20"/>
                <w:lang w:eastAsia="ru-RU"/>
              </w:rPr>
              <w:t>95/70</w:t>
            </w:r>
          </w:p>
        </w:tc>
      </w:tr>
    </w:tbl>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t>Изменений температурных графиков источников тепловой энергии не предполагается.</w:t>
      </w:r>
    </w:p>
    <w:p>
      <w:pPr>
        <w:pStyle w:val="Normal"/>
        <w:rPr>
          <w:rFonts w:cs="Arial"/>
          <w:szCs w:val="26"/>
          <w:lang w:val="ru-RU"/>
        </w:rPr>
      </w:pPr>
      <w:r>
        <w:rPr>
          <w:rFonts w:cs="Arial"/>
          <w:szCs w:val="26"/>
          <w:lang w:val="ru-RU"/>
        </w:rPr>
      </w:r>
    </w:p>
    <w:p>
      <w:pPr>
        <w:pStyle w:val="Normal"/>
        <w:numPr>
          <w:ilvl w:val="1"/>
          <w:numId w:val="1"/>
        </w:numPr>
        <w:ind w:left="0" w:hanging="0"/>
        <w:jc w:val="center"/>
        <w:outlineLvl w:val="1"/>
        <w:rPr>
          <w:rFonts w:eastAsia="MS Mincho" w:cs="Arial"/>
          <w:b/>
          <w:b/>
          <w:szCs w:val="26"/>
          <w:lang w:val="ru-RU" w:eastAsia="ru-RU"/>
        </w:rPr>
      </w:pPr>
      <w:bookmarkStart w:id="58" w:name="_Toc398022678"/>
      <w:bookmarkEnd w:id="58"/>
      <w:r>
        <w:rPr>
          <w:rFonts w:eastAsia="MS Mincho" w:cs="Arial"/>
          <w:b/>
          <w:szCs w:val="26"/>
          <w:lang w:val="ru-RU" w:eastAsia="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источников</w:t>
      </w:r>
    </w:p>
    <w:p>
      <w:pPr>
        <w:pStyle w:val="Normal"/>
        <w:rPr>
          <w:lang w:val="ru-RU"/>
        </w:rPr>
      </w:pPr>
      <w:r>
        <w:rPr>
          <w:rFonts w:eastAsia="MS Mincho" w:cs="Arial"/>
          <w:szCs w:val="26"/>
          <w:lang w:val="ru-RU"/>
        </w:rPr>
        <w:t xml:space="preserve">Перспективная установленная тепловая мощность каждого источника тепловой энергии с учетом аварийного и перспективного резерва тепловой мощности приведена в </w:t>
      </w:r>
    </w:p>
    <w:p>
      <w:pPr>
        <w:pStyle w:val="Normal"/>
        <w:suppressLineNumbers/>
        <w:suppressAutoHyphens w:val="true"/>
        <w:jc w:val="right"/>
        <w:textAlignment w:val="baseline"/>
        <w:rPr/>
      </w:pPr>
      <w:r>
        <w:rPr/>
      </w:r>
    </w:p>
    <w:p>
      <w:pPr>
        <w:pStyle w:val="Normal"/>
        <w:rPr>
          <w:lang w:val="ru-RU"/>
        </w:rPr>
      </w:pPr>
      <w:r>
        <w:rPr/>
        <w:fldChar w:fldCharType="begin"/>
      </w:r>
      <w:r>
        <w:instrText> REF _Ref397345792 \h </w:instrText>
      </w:r>
      <w:r>
        <w:fldChar w:fldCharType="separate"/>
      </w:r>
      <w:r/>
      <w:r>
        <w:fldChar w:fldCharType="end"/>
      </w:r>
      <w:r>
        <w:rPr>
          <w:rFonts w:eastAsia="MS Mincho" w:cs="Arial"/>
          <w:szCs w:val="26"/>
          <w:lang w:val="ru-RU"/>
        </w:rPr>
        <w:t>.</w:t>
      </w:r>
    </w:p>
    <w:p>
      <w:pPr>
        <w:pStyle w:val="Normal"/>
        <w:suppressLineNumbers/>
        <w:suppressAutoHyphens w:val="true"/>
        <w:jc w:val="right"/>
        <w:textAlignment w:val="baseline"/>
        <w:rPr>
          <w:rFonts w:cs="Arial"/>
          <w:iCs/>
          <w:szCs w:val="26"/>
          <w:lang w:val="ru-RU" w:eastAsia="zh-CN"/>
        </w:rPr>
      </w:pPr>
      <w:bookmarkStart w:id="59" w:name="_Ref397345792"/>
      <w:bookmarkStart w:id="60" w:name="_Ref397345792"/>
      <w:r>
        <w:rPr>
          <w:rFonts w:cs="Arial"/>
          <w:iCs/>
          <w:szCs w:val="26"/>
          <w:lang w:val="ru-RU" w:eastAsia="zh-CN"/>
        </w:rPr>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17</w:t>
      </w:r>
      <w:r>
        <w:fldChar w:fldCharType="end"/>
      </w:r>
      <w:bookmarkEnd w:id="60"/>
      <w:r>
        <w:rPr>
          <w:rFonts w:cs="Arial"/>
          <w:iCs/>
          <w:szCs w:val="26"/>
          <w:lang w:val="ru-RU" w:eastAsia="zh-CN"/>
        </w:rPr>
        <w:t xml:space="preserve"> – </w:t>
      </w:r>
      <w:r>
        <w:rPr>
          <w:rFonts w:eastAsia="MS Mincho" w:cs="Arial"/>
          <w:iCs/>
          <w:szCs w:val="26"/>
          <w:lang w:val="ru-RU" w:eastAsia="zh-CN"/>
        </w:rPr>
        <w:t>Перспективная установленная</w:t>
      </w:r>
    </w:p>
    <w:p>
      <w:pPr>
        <w:pStyle w:val="Normal"/>
        <w:suppressLineNumbers/>
        <w:suppressAutoHyphens w:val="true"/>
        <w:jc w:val="right"/>
        <w:textAlignment w:val="baseline"/>
        <w:rPr>
          <w:rFonts w:eastAsia="MS Mincho" w:cs="Arial"/>
          <w:iCs/>
          <w:szCs w:val="26"/>
          <w:lang w:val="ru-RU" w:eastAsia="zh-CN"/>
        </w:rPr>
      </w:pPr>
      <w:r>
        <w:rPr>
          <w:rFonts w:eastAsia="MS Mincho" w:cs="Arial"/>
          <w:iCs/>
          <w:szCs w:val="26"/>
          <w:lang w:val="ru-RU" w:eastAsia="zh-CN"/>
        </w:rPr>
        <w:t xml:space="preserve"> </w:t>
      </w:r>
      <w:r>
        <w:rPr>
          <w:rFonts w:eastAsia="MS Mincho" w:cs="Arial"/>
          <w:iCs/>
          <w:szCs w:val="26"/>
          <w:lang w:val="ru-RU" w:eastAsia="zh-CN"/>
        </w:rPr>
        <w:t>тепловая мощность каждого источника</w:t>
      </w:r>
    </w:p>
    <w:tbl>
      <w:tblPr>
        <w:tblW w:w="5000" w:type="pct"/>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val="04a0"/>
      </w:tblPr>
      <w:tblGrid>
        <w:gridCol w:w="1143"/>
        <w:gridCol w:w="1463"/>
        <w:gridCol w:w="1600"/>
        <w:gridCol w:w="1043"/>
        <w:gridCol w:w="1462"/>
        <w:gridCol w:w="1599"/>
        <w:gridCol w:w="1043"/>
      </w:tblGrid>
      <w:tr>
        <w:trPr>
          <w:tblHeader w:val="true"/>
          <w:trHeight w:val="170" w:hRule="atLeast"/>
        </w:trPr>
        <w:tc>
          <w:tcPr>
            <w:tcW w:w="114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
                <w:b/>
                <w:bCs/>
                <w:color w:val="000000"/>
                <w:w w:val="90"/>
                <w:sz w:val="20"/>
                <w:szCs w:val="20"/>
              </w:rPr>
            </w:pPr>
            <w:r>
              <w:rPr>
                <w:rFonts w:cs="Arial"/>
                <w:b/>
                <w:bCs/>
                <w:color w:val="000000"/>
                <w:w w:val="90"/>
                <w:sz w:val="20"/>
                <w:szCs w:val="20"/>
              </w:rPr>
              <w:t>Источник</w:t>
            </w:r>
          </w:p>
        </w:tc>
        <w:tc>
          <w:tcPr>
            <w:tcW w:w="4106"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
                <w:b/>
                <w:bCs/>
                <w:color w:val="000000"/>
                <w:w w:val="90"/>
                <w:sz w:val="20"/>
                <w:szCs w:val="20"/>
              </w:rPr>
            </w:pPr>
            <w:r>
              <w:rPr>
                <w:rFonts w:cs="Arial"/>
                <w:b/>
                <w:bCs/>
                <w:color w:val="000000"/>
                <w:w w:val="90"/>
                <w:sz w:val="20"/>
                <w:szCs w:val="20"/>
              </w:rPr>
              <w:t>Первая очередь (2015-2020г)</w:t>
            </w:r>
          </w:p>
        </w:tc>
        <w:tc>
          <w:tcPr>
            <w:tcW w:w="4104"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w w:val="90"/>
                <w:sz w:val="20"/>
                <w:szCs w:val="20"/>
              </w:rPr>
            </w:pPr>
            <w:r>
              <w:rPr>
                <w:rFonts w:cs="Arial"/>
                <w:b/>
                <w:bCs/>
                <w:color w:val="000000"/>
                <w:w w:val="90"/>
                <w:sz w:val="20"/>
                <w:szCs w:val="20"/>
              </w:rPr>
              <w:t>Расчетный срок (2021-2030г)</w:t>
            </w:r>
          </w:p>
        </w:tc>
      </w:tr>
      <w:tr>
        <w:trPr>
          <w:tblHeader w:val="true"/>
          <w:trHeight w:val="170" w:hRule="atLeast"/>
        </w:trPr>
        <w:tc>
          <w:tcPr>
            <w:tcW w:w="11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
                <w:b/>
                <w:bCs/>
                <w:color w:val="000000"/>
                <w:w w:val="90"/>
                <w:sz w:val="20"/>
                <w:szCs w:val="20"/>
              </w:rPr>
            </w:pPr>
            <w:r>
              <w:rPr>
                <w:rFonts w:cs="Arial"/>
                <w:b/>
                <w:bCs/>
                <w:color w:val="000000"/>
                <w:w w:val="90"/>
                <w:sz w:val="20"/>
                <w:szCs w:val="20"/>
              </w:rPr>
            </w:r>
          </w:p>
        </w:tc>
        <w:tc>
          <w:tcPr>
            <w:tcW w:w="14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
                <w:b/>
                <w:bCs/>
                <w:color w:val="000000"/>
                <w:w w:val="90"/>
                <w:sz w:val="20"/>
                <w:szCs w:val="20"/>
                <w:lang w:val="ru-RU"/>
              </w:rPr>
            </w:pPr>
            <w:r>
              <w:rPr>
                <w:rFonts w:cs="Arial"/>
                <w:b/>
                <w:bCs/>
                <w:color w:val="000000"/>
                <w:w w:val="90"/>
                <w:sz w:val="20"/>
                <w:szCs w:val="20"/>
                <w:lang w:val="ru-RU"/>
              </w:rPr>
              <w:t>Установленная мощность котельной, Гкал/ч</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
                <w:b/>
                <w:bCs/>
                <w:color w:val="000000"/>
                <w:w w:val="90"/>
                <w:sz w:val="20"/>
                <w:szCs w:val="20"/>
              </w:rPr>
            </w:pPr>
            <w:r>
              <w:rPr>
                <w:rFonts w:cs="Arial"/>
                <w:b/>
                <w:bCs/>
                <w:color w:val="000000"/>
                <w:w w:val="90"/>
                <w:sz w:val="20"/>
                <w:szCs w:val="20"/>
              </w:rPr>
              <w:t>Присоединенная нагрузка, Гкал/ч</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
                <w:b/>
                <w:bCs/>
                <w:color w:val="000000"/>
                <w:w w:val="90"/>
                <w:sz w:val="20"/>
                <w:szCs w:val="20"/>
                <w:lang w:val="ru-RU"/>
              </w:rPr>
            </w:pPr>
            <w:r>
              <w:rPr>
                <w:rFonts w:cs="Arial"/>
                <w:b/>
                <w:bCs/>
                <w:color w:val="000000"/>
                <w:w w:val="90"/>
                <w:sz w:val="20"/>
                <w:szCs w:val="20"/>
                <w:lang w:val="ru-RU"/>
              </w:rPr>
              <w:t>Резерв(+)/ дефицит(-) тепловой мощности нетто, Гкал</w:t>
            </w:r>
          </w:p>
        </w:tc>
        <w:tc>
          <w:tcPr>
            <w:tcW w:w="1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
                <w:b/>
                <w:bCs/>
                <w:color w:val="000000"/>
                <w:w w:val="90"/>
                <w:sz w:val="20"/>
                <w:szCs w:val="20"/>
                <w:lang w:val="ru-RU"/>
              </w:rPr>
            </w:pPr>
            <w:r>
              <w:rPr>
                <w:rFonts w:cs="Arial"/>
                <w:b/>
                <w:bCs/>
                <w:color w:val="000000"/>
                <w:w w:val="90"/>
                <w:sz w:val="20"/>
                <w:szCs w:val="20"/>
                <w:lang w:val="ru-RU"/>
              </w:rPr>
              <w:t>Установленная мощность котельной, Гкал/ч</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
                <w:b/>
                <w:bCs/>
                <w:color w:val="000000"/>
                <w:w w:val="90"/>
                <w:sz w:val="20"/>
                <w:szCs w:val="20"/>
              </w:rPr>
            </w:pPr>
            <w:r>
              <w:rPr>
                <w:rFonts w:cs="Arial"/>
                <w:b/>
                <w:bCs/>
                <w:color w:val="000000"/>
                <w:w w:val="90"/>
                <w:sz w:val="20"/>
                <w:szCs w:val="20"/>
              </w:rPr>
              <w:t>Присоединенная нагрузка, Гкал/ч</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
                <w:b/>
                <w:bCs/>
                <w:color w:val="000000"/>
                <w:w w:val="90"/>
                <w:sz w:val="20"/>
                <w:szCs w:val="20"/>
                <w:lang w:val="ru-RU"/>
              </w:rPr>
            </w:pPr>
            <w:r>
              <w:rPr>
                <w:rFonts w:cs="Arial"/>
                <w:b/>
                <w:bCs/>
                <w:color w:val="000000"/>
                <w:w w:val="90"/>
                <w:sz w:val="20"/>
                <w:szCs w:val="20"/>
                <w:lang w:val="ru-RU"/>
              </w:rPr>
              <w:t>Резерв(+)/ дефицит(-) тепловой мощности нетто, Гкал</w:t>
            </w:r>
          </w:p>
        </w:tc>
      </w:tr>
      <w:tr>
        <w:trPr>
          <w:trHeight w:val="170" w:hRule="atLeast"/>
        </w:trPr>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№1</w:t>
            </w:r>
          </w:p>
        </w:tc>
        <w:tc>
          <w:tcPr>
            <w:tcW w:w="14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7.38</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5.45</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1.93</w:t>
            </w:r>
          </w:p>
        </w:tc>
        <w:tc>
          <w:tcPr>
            <w:tcW w:w="1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12,0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10.00</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1.35</w:t>
            </w:r>
          </w:p>
        </w:tc>
      </w:tr>
      <w:tr>
        <w:trPr>
          <w:trHeight w:val="170" w:hRule="atLeast"/>
        </w:trPr>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№2</w:t>
            </w:r>
          </w:p>
        </w:tc>
        <w:tc>
          <w:tcPr>
            <w:tcW w:w="14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0.20</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0.06</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0.14</w:t>
            </w:r>
          </w:p>
        </w:tc>
        <w:tc>
          <w:tcPr>
            <w:tcW w:w="1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0.20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0.06</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0.14</w:t>
            </w:r>
          </w:p>
        </w:tc>
      </w:tr>
      <w:tr>
        <w:trPr>
          <w:trHeight w:val="170" w:hRule="atLeast"/>
        </w:trPr>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№4</w:t>
            </w:r>
          </w:p>
        </w:tc>
        <w:tc>
          <w:tcPr>
            <w:tcW w:w="14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0.13</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0.10</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0.03</w:t>
            </w:r>
          </w:p>
        </w:tc>
        <w:tc>
          <w:tcPr>
            <w:tcW w:w="1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0.13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0.10</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0.03</w:t>
            </w:r>
          </w:p>
        </w:tc>
      </w:tr>
      <w:tr>
        <w:trPr>
          <w:trHeight w:val="170" w:hRule="atLeast"/>
        </w:trPr>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№5</w:t>
            </w:r>
          </w:p>
        </w:tc>
        <w:tc>
          <w:tcPr>
            <w:tcW w:w="14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5.01</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1.59</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3.42</w:t>
            </w:r>
          </w:p>
        </w:tc>
        <w:tc>
          <w:tcPr>
            <w:tcW w:w="1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5.01</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1.59</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3.42</w:t>
            </w:r>
          </w:p>
        </w:tc>
      </w:tr>
      <w:tr>
        <w:trPr>
          <w:trHeight w:val="170" w:hRule="atLeast"/>
        </w:trPr>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№6</w:t>
            </w:r>
          </w:p>
        </w:tc>
        <w:tc>
          <w:tcPr>
            <w:tcW w:w="14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1.46</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0.45</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1.01</w:t>
            </w:r>
          </w:p>
        </w:tc>
        <w:tc>
          <w:tcPr>
            <w:tcW w:w="1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1.46</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0.45</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1.01</w:t>
            </w:r>
          </w:p>
        </w:tc>
      </w:tr>
      <w:tr>
        <w:trPr>
          <w:trHeight w:val="170" w:hRule="atLeast"/>
        </w:trPr>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№7</w:t>
            </w:r>
          </w:p>
        </w:tc>
        <w:tc>
          <w:tcPr>
            <w:tcW w:w="14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0.73</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0.04</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0.69</w:t>
            </w:r>
          </w:p>
        </w:tc>
        <w:tc>
          <w:tcPr>
            <w:tcW w:w="1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0.73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0.04</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center"/>
              <w:rPr>
                <w:rFonts w:cs="Arial"/>
                <w:color w:val="000000"/>
                <w:w w:val="90"/>
                <w:sz w:val="20"/>
                <w:szCs w:val="20"/>
              </w:rPr>
            </w:pPr>
            <w:r>
              <w:rPr>
                <w:rFonts w:cs="Arial"/>
                <w:color w:val="000000"/>
                <w:w w:val="90"/>
                <w:sz w:val="20"/>
                <w:szCs w:val="20"/>
              </w:rPr>
              <w:t>0.69</w:t>
            </w:r>
          </w:p>
        </w:tc>
      </w:tr>
      <w:tr>
        <w:trPr>
          <w:trHeight w:val="170" w:hRule="atLeast"/>
        </w:trPr>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ООО «Газпром энерго»</w:t>
            </w:r>
          </w:p>
        </w:tc>
        <w:tc>
          <w:tcPr>
            <w:tcW w:w="14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6,02</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0,36</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4,69</w:t>
            </w:r>
          </w:p>
        </w:tc>
        <w:tc>
          <w:tcPr>
            <w:tcW w:w="1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6,02</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0,36</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4,69</w:t>
            </w:r>
          </w:p>
        </w:tc>
      </w:tr>
      <w:tr>
        <w:trPr>
          <w:trHeight w:val="170" w:hRule="atLeast"/>
        </w:trPr>
        <w:tc>
          <w:tcPr>
            <w:tcW w:w="11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w w:val="90"/>
                <w:sz w:val="20"/>
                <w:szCs w:val="20"/>
              </w:rPr>
            </w:pPr>
            <w:r>
              <w:rPr>
                <w:rFonts w:cs="Arial"/>
                <w:color w:val="000000"/>
                <w:w w:val="90"/>
                <w:sz w:val="20"/>
                <w:szCs w:val="20"/>
              </w:rPr>
              <w:t>Котельная блочная 0,6 МВт «Больница»</w:t>
            </w:r>
          </w:p>
        </w:tc>
        <w:tc>
          <w:tcPr>
            <w:tcW w:w="14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0,515</w:t>
            </w:r>
          </w:p>
        </w:tc>
        <w:tc>
          <w:tcPr>
            <w:tcW w:w="16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0,4</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0,002</w:t>
            </w:r>
          </w:p>
        </w:tc>
        <w:tc>
          <w:tcPr>
            <w:tcW w:w="146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0,515</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0,4</w:t>
            </w:r>
          </w:p>
        </w:tc>
        <w:tc>
          <w:tcPr>
            <w:tcW w:w="10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color w:val="000000"/>
                <w:w w:val="90"/>
                <w:sz w:val="20"/>
                <w:szCs w:val="20"/>
              </w:rPr>
            </w:pPr>
            <w:r>
              <w:rPr>
                <w:rFonts w:cs="Arial"/>
                <w:color w:val="000000"/>
                <w:w w:val="90"/>
                <w:sz w:val="20"/>
                <w:szCs w:val="20"/>
              </w:rPr>
              <w:t>0,002</w:t>
            </w:r>
          </w:p>
        </w:tc>
      </w:tr>
    </w:tbl>
    <w:p>
      <w:pPr>
        <w:pStyle w:val="Normal"/>
        <w:numPr>
          <w:ilvl w:val="0"/>
          <w:numId w:val="0"/>
        </w:numPr>
        <w:spacing w:before="0" w:after="0"/>
        <w:ind w:hanging="0"/>
        <w:contextualSpacing/>
        <w:jc w:val="center"/>
        <w:outlineLvl w:val="0"/>
        <w:rPr>
          <w:rFonts w:cs="Arial"/>
          <w:b/>
          <w:b/>
          <w:szCs w:val="26"/>
          <w:lang w:val="ru-RU" w:eastAsia="ru-RU"/>
        </w:rPr>
      </w:pPr>
      <w:r>
        <w:rPr>
          <w:rFonts w:cs="Arial"/>
          <w:b/>
          <w:szCs w:val="26"/>
          <w:lang w:val="ru-RU" w:eastAsia="ru-RU"/>
        </w:rPr>
      </w:r>
    </w:p>
    <w:p>
      <w:pPr>
        <w:pStyle w:val="Normal"/>
        <w:numPr>
          <w:ilvl w:val="0"/>
          <w:numId w:val="1"/>
        </w:numPr>
        <w:spacing w:before="0" w:after="0"/>
        <w:ind w:left="0" w:hanging="0"/>
        <w:contextualSpacing/>
        <w:jc w:val="center"/>
        <w:outlineLvl w:val="0"/>
        <w:rPr>
          <w:rFonts w:cs="Arial"/>
          <w:b/>
          <w:b/>
          <w:szCs w:val="26"/>
          <w:lang w:val="ru-RU" w:eastAsia="ru-RU"/>
        </w:rPr>
      </w:pPr>
      <w:r>
        <w:rPr>
          <w:rFonts w:cs="Arial"/>
          <w:b/>
          <w:szCs w:val="26"/>
          <w:lang w:val="ru-RU" w:eastAsia="ru-RU"/>
        </w:rPr>
        <w:t xml:space="preserve">Предложения по строительству и реконструкции тепловых сетей </w:t>
      </w:r>
    </w:p>
    <w:p>
      <w:pPr>
        <w:pStyle w:val="Normal"/>
        <w:numPr>
          <w:ilvl w:val="1"/>
          <w:numId w:val="1"/>
        </w:numPr>
        <w:ind w:left="0" w:hanging="0"/>
        <w:jc w:val="center"/>
        <w:outlineLvl w:val="1"/>
        <w:rPr>
          <w:rFonts w:eastAsia="MS Mincho" w:cs="Arial"/>
          <w:b/>
          <w:b/>
          <w:szCs w:val="26"/>
          <w:lang w:val="ru-RU" w:eastAsia="ru-RU"/>
        </w:rPr>
      </w:pPr>
      <w:bookmarkStart w:id="61" w:name="_Toc397084961"/>
      <w:bookmarkStart w:id="62" w:name="_Toc398022680"/>
      <w:bookmarkEnd w:id="61"/>
      <w:bookmarkEnd w:id="62"/>
      <w:r>
        <w:rPr>
          <w:rFonts w:eastAsia="MS Mincho" w:cs="Arial"/>
          <w:b/>
          <w:szCs w:val="26"/>
          <w:lang w:val="ru-RU" w:eastAsia="ru-RU"/>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pPr>
        <w:pStyle w:val="Normal"/>
        <w:rPr>
          <w:rFonts w:eastAsia="MS Mincho" w:cs="Arial"/>
          <w:szCs w:val="26"/>
          <w:lang w:val="ru-RU"/>
        </w:rPr>
      </w:pPr>
      <w:r>
        <w:rPr>
          <w:rFonts w:eastAsia="MS Mincho" w:cs="Arial"/>
          <w:szCs w:val="26"/>
          <w:lang w:val="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дефицита тепловой мощности источников теплоснабжения п. Туртас нет.</w:t>
      </w:r>
    </w:p>
    <w:p>
      <w:pPr>
        <w:pStyle w:val="Normal"/>
        <w:rPr>
          <w:rFonts w:eastAsia="MS Mincho" w:cs="Arial"/>
          <w:szCs w:val="26"/>
          <w:lang w:val="ru-RU"/>
        </w:rPr>
      </w:pPr>
      <w:r>
        <w:rPr>
          <w:rFonts w:eastAsia="MS Mincho" w:cs="Arial"/>
          <w:szCs w:val="26"/>
          <w:lang w:val="ru-RU"/>
        </w:rPr>
      </w:r>
    </w:p>
    <w:p>
      <w:pPr>
        <w:pStyle w:val="Normal"/>
        <w:numPr>
          <w:ilvl w:val="1"/>
          <w:numId w:val="1"/>
        </w:numPr>
        <w:ind w:left="0" w:hanging="0"/>
        <w:jc w:val="center"/>
        <w:outlineLvl w:val="1"/>
        <w:rPr>
          <w:rFonts w:eastAsia="MS Mincho" w:cs="Arial"/>
          <w:b/>
          <w:b/>
          <w:szCs w:val="26"/>
          <w:lang w:val="ru-RU" w:eastAsia="ru-RU"/>
        </w:rPr>
      </w:pPr>
      <w:bookmarkStart w:id="63" w:name="_Toc398022681"/>
      <w:bookmarkEnd w:id="63"/>
      <w:r>
        <w:rPr>
          <w:rFonts w:eastAsia="MS Mincho" w:cs="Arial"/>
          <w:b/>
          <w:szCs w:val="26"/>
          <w:lang w:val="ru-RU"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pPr>
        <w:pStyle w:val="Normal"/>
        <w:rPr>
          <w:rFonts w:cs="Arial"/>
          <w:szCs w:val="26"/>
          <w:lang w:val="ru-RU"/>
        </w:rPr>
      </w:pPr>
      <w:r>
        <w:rPr>
          <w:rFonts w:cs="Arial"/>
          <w:szCs w:val="26"/>
          <w:lang w:val="ru-RU"/>
        </w:rPr>
        <w:t>Предложение по строительству и реконструкции тепловых сетей предполагает планомерную замену ветхих и аварийных тепловых сетей на новые в ППУ изоляции, а также строительстве новых сетей для подключения новых абонентов к центральной котельной №1.</w:t>
      </w:r>
    </w:p>
    <w:p>
      <w:pPr>
        <w:sectPr>
          <w:footerReference w:type="default" r:id="rId26"/>
          <w:type w:val="nextPage"/>
          <w:pgSz w:w="11906" w:h="16838"/>
          <w:pgMar w:left="1701" w:right="851" w:header="0" w:top="567" w:footer="709" w:bottom="766" w:gutter="0"/>
          <w:pgNumType w:fmt="decimal"/>
          <w:formProt w:val="false"/>
          <w:textDirection w:val="lrTb"/>
          <w:docGrid w:type="default" w:linePitch="360" w:charSpace="4294957055"/>
        </w:sectPr>
        <w:pStyle w:val="Normal"/>
        <w:rPr/>
      </w:pPr>
      <w:r>
        <w:rPr>
          <w:rFonts w:cs="Arial"/>
          <w:szCs w:val="26"/>
          <w:lang w:val="ru-RU"/>
        </w:rPr>
        <w:t xml:space="preserve">Данные по диаметрам и протяженностям реконструируемых трубопроводов и ориентировочная стоимость материалов и работ приведены </w:t>
      </w:r>
      <w:r>
        <w:rPr>
          <w:rFonts w:cs="Arial"/>
          <w:szCs w:val="26"/>
          <w:lang w:val="ru-RU"/>
        </w:rPr>
        <w:t xml:space="preserve">в </w:t>
      </w:r>
      <w:r>
        <w:rPr>
          <w:rFonts w:cs="Arial"/>
          <w:szCs w:val="26"/>
          <w:lang w:val="ru-RU"/>
        </w:rPr>
        <w:fldChar w:fldCharType="begin"/>
      </w:r>
      <w:r>
        <w:instrText> REF _Ref392669636 \h </w:instrText>
      </w:r>
      <w:r>
        <w:fldChar w:fldCharType="separate"/>
      </w:r>
      <w:r>
        <w:t>Таблица 18</w:t>
      </w:r>
      <w:r>
        <w:fldChar w:fldCharType="end"/>
      </w:r>
      <w:r>
        <w:rPr>
          <w:rFonts w:cs="Arial"/>
          <w:szCs w:val="26"/>
          <w:lang w:val="ru-RU"/>
        </w:rPr>
        <w:t>.</w:t>
      </w:r>
    </w:p>
    <w:p>
      <w:pPr>
        <w:pStyle w:val="Normal"/>
        <w:suppressLineNumbers/>
        <w:suppressAutoHyphens w:val="true"/>
        <w:jc w:val="right"/>
        <w:textAlignment w:val="baseline"/>
        <w:rPr/>
      </w:pPr>
      <w:bookmarkStart w:id="64" w:name="_Ref392669636"/>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18</w:t>
      </w:r>
      <w:r>
        <w:fldChar w:fldCharType="end"/>
      </w:r>
      <w:bookmarkEnd w:id="64"/>
      <w:r>
        <w:rPr>
          <w:rFonts w:cs="Arial"/>
          <w:iCs/>
          <w:szCs w:val="26"/>
          <w:lang w:val="ru-RU" w:eastAsia="zh-CN"/>
        </w:rPr>
        <w:t xml:space="preserve"> – Данные по диаметрам и протяженностям реконструируемых </w:t>
      </w:r>
    </w:p>
    <w:p>
      <w:pPr>
        <w:pStyle w:val="Normal"/>
        <w:suppressLineNumbers/>
        <w:suppressAutoHyphens w:val="true"/>
        <w:jc w:val="right"/>
        <w:textAlignment w:val="baseline"/>
        <w:rPr>
          <w:rFonts w:cs="Arial"/>
          <w:iCs/>
          <w:szCs w:val="26"/>
          <w:lang w:val="ru-RU" w:eastAsia="zh-CN"/>
        </w:rPr>
      </w:pPr>
      <w:r>
        <w:rPr>
          <w:rFonts w:cs="Arial"/>
          <w:iCs/>
          <w:szCs w:val="26"/>
          <w:lang w:val="ru-RU" w:eastAsia="zh-CN"/>
        </w:rPr>
        <w:t>трубопроводов и ориентировочная стоимость материалов и работ</w:t>
      </w:r>
    </w:p>
    <w:tbl>
      <w:tblPr>
        <w:tblW w:w="5000" w:type="pct"/>
        <w:jc w:val="left"/>
        <w:tblInd w:w="-2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77" w:type="dxa"/>
          <w:bottom w:w="0" w:type="dxa"/>
          <w:right w:w="108" w:type="dxa"/>
        </w:tblCellMar>
        <w:tblLook w:val="04a0"/>
      </w:tblPr>
      <w:tblGrid>
        <w:gridCol w:w="718"/>
        <w:gridCol w:w="566"/>
        <w:gridCol w:w="527"/>
        <w:gridCol w:w="1"/>
        <w:gridCol w:w="747"/>
        <w:gridCol w:w="646"/>
        <w:gridCol w:w="579"/>
        <w:gridCol w:w="1"/>
        <w:gridCol w:w="747"/>
        <w:gridCol w:w="646"/>
        <w:gridCol w:w="579"/>
        <w:gridCol w:w="1"/>
        <w:gridCol w:w="747"/>
        <w:gridCol w:w="646"/>
        <w:gridCol w:w="578"/>
        <w:gridCol w:w="2"/>
        <w:gridCol w:w="747"/>
        <w:gridCol w:w="646"/>
        <w:gridCol w:w="578"/>
        <w:gridCol w:w="2"/>
        <w:gridCol w:w="747"/>
        <w:gridCol w:w="646"/>
        <w:gridCol w:w="578"/>
        <w:gridCol w:w="2"/>
        <w:gridCol w:w="747"/>
        <w:gridCol w:w="646"/>
        <w:gridCol w:w="578"/>
        <w:gridCol w:w="195"/>
        <w:gridCol w:w="438"/>
      </w:tblGrid>
      <w:tr>
        <w:trPr>
          <w:tblHeader w:val="true"/>
          <w:trHeight w:val="315" w:hRule="atLeast"/>
        </w:trPr>
        <w:tc>
          <w:tcPr>
            <w:tcW w:w="1812"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color w:val="000000"/>
                <w:w w:val="80"/>
                <w:sz w:val="20"/>
                <w:szCs w:val="20"/>
                <w:lang w:val="ru-RU"/>
              </w:rPr>
            </w:pPr>
            <w:r>
              <w:rPr>
                <w:rFonts w:cs="Arial"/>
                <w:color w:val="000000"/>
                <w:w w:val="80"/>
                <w:sz w:val="20"/>
                <w:szCs w:val="20"/>
                <w:lang w:val="ru-RU"/>
              </w:rPr>
            </w:r>
          </w:p>
        </w:tc>
        <w:tc>
          <w:tcPr>
            <w:tcW w:w="197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Котельная №1</w:t>
            </w:r>
          </w:p>
        </w:tc>
        <w:tc>
          <w:tcPr>
            <w:tcW w:w="197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Котельная №2</w:t>
            </w:r>
          </w:p>
        </w:tc>
        <w:tc>
          <w:tcPr>
            <w:tcW w:w="197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Котельная №4</w:t>
            </w:r>
          </w:p>
        </w:tc>
        <w:tc>
          <w:tcPr>
            <w:tcW w:w="197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Котельная №5</w:t>
            </w:r>
          </w:p>
        </w:tc>
        <w:tc>
          <w:tcPr>
            <w:tcW w:w="1973"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Котельная №6</w:t>
            </w:r>
          </w:p>
        </w:tc>
        <w:tc>
          <w:tcPr>
            <w:tcW w:w="2166"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Котельная №7</w:t>
            </w:r>
          </w:p>
        </w:tc>
        <w:tc>
          <w:tcPr>
            <w:tcW w:w="4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blHeader w:val="true"/>
          <w:trHeight w:val="1560"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трубопровода, р./пм</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Наружный диаметр, мм</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Диаметр, м</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lang w:val="ru-RU"/>
              </w:rPr>
            </w:pPr>
            <w:r>
              <w:rPr>
                <w:rFonts w:cs="Arial"/>
                <w:bCs/>
                <w:color w:val="000000"/>
                <w:w w:val="80"/>
                <w:sz w:val="20"/>
                <w:szCs w:val="20"/>
                <w:lang w:val="ru-RU"/>
              </w:rPr>
              <w:t>Протяжённость в двухтрубном исполнении, м</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материалов, тыс.р.</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работ, тыс.р.</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lang w:val="ru-RU"/>
              </w:rPr>
            </w:pPr>
            <w:r>
              <w:rPr>
                <w:rFonts w:cs="Arial"/>
                <w:bCs/>
                <w:color w:val="000000"/>
                <w:w w:val="80"/>
                <w:sz w:val="20"/>
                <w:szCs w:val="20"/>
                <w:lang w:val="ru-RU"/>
              </w:rPr>
              <w:t>Протяжённость в двухтрубном исполнении, м</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материалов, тыс.р.</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работ, тыс.р.</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lang w:val="ru-RU"/>
              </w:rPr>
            </w:pPr>
            <w:r>
              <w:rPr>
                <w:rFonts w:cs="Arial"/>
                <w:bCs/>
                <w:color w:val="000000"/>
                <w:w w:val="80"/>
                <w:sz w:val="20"/>
                <w:szCs w:val="20"/>
                <w:lang w:val="ru-RU"/>
              </w:rPr>
              <w:t>Протяжённость в двухтрубном исполнении, м</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материалов, тыс.р.</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работ, тыс.р.</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lang w:val="ru-RU"/>
              </w:rPr>
            </w:pPr>
            <w:r>
              <w:rPr>
                <w:rFonts w:cs="Arial"/>
                <w:bCs/>
                <w:color w:val="000000"/>
                <w:w w:val="80"/>
                <w:sz w:val="20"/>
                <w:szCs w:val="20"/>
                <w:lang w:val="ru-RU"/>
              </w:rPr>
              <w:t>Протяжённость в двухтрубном исполнении, м</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материалов, тыс.р.</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работ, тыс.р.</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lang w:val="ru-RU"/>
              </w:rPr>
            </w:pPr>
            <w:r>
              <w:rPr>
                <w:rFonts w:cs="Arial"/>
                <w:bCs/>
                <w:color w:val="000000"/>
                <w:w w:val="80"/>
                <w:sz w:val="20"/>
                <w:szCs w:val="20"/>
                <w:lang w:val="ru-RU"/>
              </w:rPr>
              <w:t>Протяжённость в двухтрубном исполнении, м</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материалов, тыс.р.</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работ, тыс.р.</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lang w:val="ru-RU"/>
              </w:rPr>
            </w:pPr>
            <w:r>
              <w:rPr>
                <w:rFonts w:cs="Arial"/>
                <w:bCs/>
                <w:color w:val="000000"/>
                <w:w w:val="80"/>
                <w:sz w:val="20"/>
                <w:szCs w:val="20"/>
                <w:lang w:val="ru-RU"/>
              </w:rPr>
              <w:t>Протяжённость в двухтрубном исполнении, м</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материалов, тыс.р.</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bCs/>
                <w:color w:val="000000"/>
                <w:w w:val="80"/>
                <w:sz w:val="20"/>
                <w:szCs w:val="20"/>
              </w:rPr>
            </w:pPr>
            <w:r>
              <w:rPr>
                <w:rFonts w:cs="Arial"/>
                <w:bCs/>
                <w:color w:val="000000"/>
                <w:w w:val="80"/>
                <w:sz w:val="20"/>
                <w:szCs w:val="20"/>
              </w:rPr>
              <w:t>Стоимость работ, тыс.р.</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center"/>
          </w:tcPr>
          <w:p>
            <w:pPr>
              <w:pStyle w:val="Normal"/>
              <w:ind w:hanging="0"/>
              <w:jc w:val="center"/>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7083</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426</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0,4</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t> </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377</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0,35</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5880</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325</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0,3</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191</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1123080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1123080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4427</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273</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0,25</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3250</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219</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0,2</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846</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2749500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2749500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141</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458250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458250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t> </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194</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0,175</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2296</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159</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0,15</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1289</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2959544</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2959544</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276.5</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634844</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634844</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1526</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133</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0,125</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408</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622608</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622608</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54.5</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83167</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83167</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1486</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108</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0,1</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1004</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1491944</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1491944</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513</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762318</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762318</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1071</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1591506</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1591506</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1213</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89</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0,08</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173</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209849</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209849</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7278</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7278</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72</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87336</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87336</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128</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155264</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155264</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893</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76</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0,07</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699</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624207</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624207</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24</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21432</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21432</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246</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219678</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219678</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290</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258970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258970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737</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57</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0,05</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1166</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859342</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859342</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82</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60434</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60434</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102</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75174</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75174</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425.5</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313593.5</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313593.5</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90</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66330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66330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549</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32</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0,032</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21.5</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11803.5</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11803.5</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color w:val="000000"/>
                <w:w w:val="80"/>
                <w:sz w:val="20"/>
                <w:szCs w:val="20"/>
              </w:rPr>
            </w:pPr>
            <w:r>
              <w:rPr>
                <w:rFonts w:cs="Arial"/>
                <w:color w:val="000000"/>
                <w:w w:val="80"/>
                <w:sz w:val="20"/>
                <w:szCs w:val="20"/>
              </w:rPr>
              <w:t>0</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bCs/>
                <w:color w:val="000000"/>
                <w:w w:val="80"/>
                <w:sz w:val="20"/>
                <w:szCs w:val="20"/>
              </w:rPr>
            </w:pPr>
            <w:r>
              <w:rPr>
                <w:rFonts w:cs="Arial"/>
                <w:bCs/>
                <w:color w:val="000000"/>
                <w:w w:val="80"/>
                <w:sz w:val="20"/>
                <w:szCs w:val="20"/>
              </w:rPr>
              <w:t>Итого:</w:t>
            </w:r>
          </w:p>
        </w:tc>
      </w:tr>
      <w:tr>
        <w:trPr>
          <w:trHeight w:val="315" w:hRule="atLeast"/>
        </w:trPr>
        <w:tc>
          <w:tcPr>
            <w:tcW w:w="7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t> </w:t>
            </w:r>
          </w:p>
        </w:tc>
        <w:tc>
          <w:tcPr>
            <w:tcW w:w="56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t> </w:t>
            </w:r>
          </w:p>
        </w:tc>
        <w:tc>
          <w:tcPr>
            <w:tcW w:w="52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left"/>
              <w:rPr>
                <w:rFonts w:cs="Arial"/>
                <w:color w:val="000000"/>
                <w:w w:val="80"/>
                <w:sz w:val="20"/>
                <w:szCs w:val="20"/>
              </w:rPr>
            </w:pPr>
            <w:r>
              <w:rPr>
                <w:rFonts w:cs="Arial"/>
                <w:color w:val="000000"/>
                <w:w w:val="80"/>
                <w:sz w:val="20"/>
                <w:szCs w:val="20"/>
              </w:rPr>
              <w:t> </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21280148</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21280148</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178288</w:t>
            </w:r>
          </w:p>
        </w:tc>
        <w:tc>
          <w:tcPr>
            <w:tcW w:w="5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178288</w:t>
            </w:r>
          </w:p>
        </w:tc>
        <w:tc>
          <w:tcPr>
            <w:tcW w:w="748"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150348</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150348</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5118373</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5118373</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3857219</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3857219</w:t>
            </w:r>
          </w:p>
        </w:tc>
        <w:tc>
          <w:tcPr>
            <w:tcW w:w="7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 </w:t>
            </w:r>
          </w:p>
        </w:tc>
        <w:tc>
          <w:tcPr>
            <w:tcW w:w="64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310528</w:t>
            </w:r>
          </w:p>
        </w:tc>
        <w:tc>
          <w:tcPr>
            <w:tcW w:w="57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center"/>
              <w:rPr>
                <w:rFonts w:cs="Arial"/>
                <w:bCs/>
                <w:color w:val="000000"/>
                <w:w w:val="80"/>
                <w:sz w:val="20"/>
                <w:szCs w:val="20"/>
              </w:rPr>
            </w:pPr>
            <w:r>
              <w:rPr>
                <w:rFonts w:cs="Arial"/>
                <w:bCs/>
                <w:color w:val="000000"/>
                <w:w w:val="80"/>
                <w:sz w:val="20"/>
                <w:szCs w:val="20"/>
              </w:rPr>
              <w:t>310528</w:t>
            </w:r>
          </w:p>
        </w:tc>
        <w:tc>
          <w:tcPr>
            <w:tcW w:w="633"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77" w:type="dxa"/>
            </w:tcMar>
            <w:vAlign w:val="bottom"/>
          </w:tcPr>
          <w:p>
            <w:pPr>
              <w:pStyle w:val="Normal"/>
              <w:ind w:hanging="0"/>
              <w:jc w:val="right"/>
              <w:rPr>
                <w:rFonts w:cs="Arial"/>
                <w:bCs/>
                <w:color w:val="000000"/>
                <w:w w:val="80"/>
                <w:sz w:val="20"/>
                <w:szCs w:val="20"/>
              </w:rPr>
            </w:pPr>
            <w:r>
              <w:rPr>
                <w:rFonts w:cs="Arial"/>
                <w:bCs/>
                <w:color w:val="000000"/>
                <w:w w:val="80"/>
                <w:sz w:val="20"/>
                <w:szCs w:val="20"/>
              </w:rPr>
              <w:t>61789808</w:t>
            </w:r>
          </w:p>
        </w:tc>
      </w:tr>
    </w:tbl>
    <w:p>
      <w:pPr>
        <w:sectPr>
          <w:footerReference w:type="default" r:id="rId27"/>
          <w:type w:val="nextPage"/>
          <w:pgSz w:orient="landscape" w:w="16838" w:h="11906"/>
          <w:pgMar w:left="1701" w:right="851" w:header="0" w:top="567" w:footer="709" w:bottom="766" w:gutter="0"/>
          <w:pgNumType w:fmt="decimal"/>
          <w:formProt w:val="false"/>
          <w:textDirection w:val="lrTb"/>
          <w:docGrid w:type="default" w:linePitch="360" w:charSpace="4294957055"/>
        </w:sectPr>
        <w:pStyle w:val="Normal"/>
        <w:rPr>
          <w:rFonts w:cs="Arial"/>
          <w:szCs w:val="26"/>
          <w:lang w:val="ru-RU"/>
        </w:rPr>
      </w:pPr>
      <w:r>
        <w:rPr>
          <w:rFonts w:cs="Arial"/>
          <w:szCs w:val="26"/>
          <w:lang w:val="ru-RU"/>
        </w:rPr>
        <w:t xml:space="preserve">С учетом стоимости фасонных изделий общая стоимость работ увеличится на 25% и составит, ориентировочно, </w:t>
      </w:r>
      <w:r>
        <w:rPr>
          <w:rFonts w:cs="Arial"/>
          <w:b/>
          <w:szCs w:val="26"/>
          <w:lang w:val="ru-RU"/>
        </w:rPr>
        <w:t>77237260</w:t>
      </w:r>
      <w:r>
        <w:rPr>
          <w:rFonts w:cs="Arial"/>
          <w:szCs w:val="26"/>
          <w:lang w:val="ru-RU"/>
        </w:rPr>
        <w:t xml:space="preserve"> рублей.</w:t>
      </w:r>
    </w:p>
    <w:p>
      <w:pPr>
        <w:pStyle w:val="Normal"/>
        <w:numPr>
          <w:ilvl w:val="1"/>
          <w:numId w:val="1"/>
        </w:numPr>
        <w:ind w:left="0" w:hanging="0"/>
        <w:jc w:val="center"/>
        <w:outlineLvl w:val="1"/>
        <w:rPr>
          <w:rFonts w:cs="Arial"/>
          <w:b/>
          <w:b/>
          <w:szCs w:val="26"/>
          <w:lang w:val="ru-RU" w:eastAsia="ru-RU"/>
        </w:rPr>
      </w:pPr>
      <w:bookmarkStart w:id="65" w:name="_Toc398022682"/>
      <w:bookmarkEnd w:id="65"/>
      <w:r>
        <w:rPr>
          <w:rFonts w:eastAsia="MS Mincho" w:cs="Arial"/>
          <w:b/>
          <w:szCs w:val="26"/>
          <w:lang w:val="ru-RU" w:eastAsia="ru-RU"/>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pPr>
        <w:pStyle w:val="Normal"/>
        <w:rPr>
          <w:rFonts w:eastAsia="MS Mincho" w:cs="Arial"/>
          <w:szCs w:val="26"/>
          <w:lang w:val="ru-RU"/>
        </w:rPr>
      </w:pPr>
      <w:r>
        <w:rPr>
          <w:rFonts w:eastAsia="MS Mincho" w:cs="Arial"/>
          <w:szCs w:val="26"/>
          <w:lang w:val="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pPr>
        <w:pStyle w:val="Normal"/>
        <w:rPr>
          <w:rFonts w:cs="Arial"/>
          <w:szCs w:val="26"/>
          <w:lang w:val="ru-RU"/>
        </w:rPr>
      </w:pPr>
      <w:r>
        <w:rPr>
          <w:rFonts w:cs="Arial"/>
          <w:szCs w:val="26"/>
          <w:lang w:val="ru-RU"/>
        </w:rPr>
      </w:r>
    </w:p>
    <w:p>
      <w:pPr>
        <w:pStyle w:val="Normal"/>
        <w:numPr>
          <w:ilvl w:val="1"/>
          <w:numId w:val="1"/>
        </w:numPr>
        <w:ind w:left="0" w:hanging="0"/>
        <w:jc w:val="center"/>
        <w:outlineLvl w:val="1"/>
        <w:rPr>
          <w:rFonts w:eastAsia="MS Mincho" w:cs="Arial"/>
          <w:b/>
          <w:b/>
          <w:szCs w:val="26"/>
          <w:lang w:val="ru-RU" w:eastAsia="ru-RU"/>
        </w:rPr>
      </w:pPr>
      <w:bookmarkStart w:id="66" w:name="_Toc398022683"/>
      <w:bookmarkEnd w:id="66"/>
      <w:r>
        <w:rPr>
          <w:rFonts w:eastAsia="MS Mincho" w:cs="Arial"/>
          <w:b/>
          <w:szCs w:val="26"/>
          <w:lang w:val="ru-RU" w:eastAsia="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pPr>
        <w:pStyle w:val="Normal"/>
        <w:rPr>
          <w:rFonts w:eastAsia="MS Mincho" w:cs="Arial"/>
          <w:szCs w:val="26"/>
          <w:lang w:val="ru-RU"/>
        </w:rPr>
      </w:pPr>
      <w:r>
        <w:rPr>
          <w:rFonts w:eastAsia="MS Mincho" w:cs="Arial"/>
          <w:szCs w:val="26"/>
          <w:lang w:val="ru-RU"/>
        </w:rPr>
        <w:t>Перевод котельных в пиковый режим работы не предусмотрено, предусмотрено консервация котельной «</w:t>
      </w:r>
      <w:r>
        <w:rPr>
          <w:rFonts w:cs="Arial"/>
          <w:color w:val="000000"/>
          <w:w w:val="90"/>
          <w:szCs w:val="26"/>
          <w:lang w:val="ru-RU"/>
        </w:rPr>
        <w:t>Котельная ООО «Газпром энерго».</w:t>
      </w:r>
    </w:p>
    <w:p>
      <w:pPr>
        <w:pStyle w:val="Normal"/>
        <w:rPr>
          <w:rFonts w:eastAsia="MS Mincho" w:cs="Arial"/>
          <w:szCs w:val="26"/>
          <w:lang w:val="ru-RU"/>
        </w:rPr>
      </w:pPr>
      <w:r>
        <w:rPr>
          <w:rFonts w:eastAsia="MS Mincho" w:cs="Arial"/>
          <w:szCs w:val="26"/>
          <w:lang w:val="ru-RU"/>
        </w:rPr>
      </w:r>
    </w:p>
    <w:p>
      <w:pPr>
        <w:pStyle w:val="Normal"/>
        <w:numPr>
          <w:ilvl w:val="1"/>
          <w:numId w:val="1"/>
        </w:numPr>
        <w:ind w:left="0" w:hanging="0"/>
        <w:jc w:val="center"/>
        <w:outlineLvl w:val="1"/>
        <w:rPr>
          <w:rFonts w:eastAsia="MS Mincho" w:cs="Arial"/>
          <w:b/>
          <w:b/>
          <w:szCs w:val="26"/>
          <w:lang w:val="ru-RU" w:eastAsia="ru-RU"/>
        </w:rPr>
      </w:pPr>
      <w:bookmarkStart w:id="67" w:name="_Toc398022684"/>
      <w:bookmarkEnd w:id="67"/>
      <w:r>
        <w:rPr>
          <w:rFonts w:eastAsia="MS Mincho" w:cs="Arial"/>
          <w:b/>
          <w:szCs w:val="26"/>
          <w:lang w:val="ru-RU" w:eastAsia="ru-RU"/>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pPr>
        <w:pStyle w:val="Normal"/>
        <w:rPr>
          <w:rFonts w:cs="Arial"/>
          <w:szCs w:val="26"/>
          <w:lang w:val="ru-RU"/>
        </w:rPr>
      </w:pPr>
      <w:r>
        <w:rPr>
          <w:rFonts w:cs="Arial"/>
          <w:szCs w:val="26"/>
          <w:lang w:val="ru-RU"/>
        </w:rPr>
        <w:t>Проектом предусмотрено планомерная замена ветхих и аварийных тепловых сетей на новые.</w:t>
      </w:r>
    </w:p>
    <w:p>
      <w:pPr>
        <w:pStyle w:val="Normal"/>
        <w:rPr>
          <w:rFonts w:cs="Arial"/>
          <w:szCs w:val="26"/>
          <w:lang w:val="ru-RU"/>
        </w:rPr>
      </w:pPr>
      <w:r>
        <w:rPr>
          <w:rFonts w:cs="Arial"/>
          <w:szCs w:val="26"/>
          <w:lang w:val="ru-RU"/>
        </w:rPr>
      </w:r>
    </w:p>
    <w:p>
      <w:pPr>
        <w:pStyle w:val="Normal"/>
        <w:numPr>
          <w:ilvl w:val="0"/>
          <w:numId w:val="1"/>
        </w:numPr>
        <w:spacing w:before="0" w:after="0"/>
        <w:ind w:left="0" w:hanging="0"/>
        <w:contextualSpacing/>
        <w:jc w:val="center"/>
        <w:outlineLvl w:val="0"/>
        <w:rPr>
          <w:rFonts w:cs="Arial"/>
          <w:b/>
          <w:b/>
          <w:szCs w:val="26"/>
          <w:lang w:val="ru-RU" w:eastAsia="ru-RU"/>
        </w:rPr>
      </w:pPr>
      <w:bookmarkStart w:id="68" w:name="_Toc398022685"/>
      <w:bookmarkEnd w:id="68"/>
      <w:r>
        <w:rPr>
          <w:rFonts w:cs="Arial"/>
          <w:b/>
          <w:szCs w:val="26"/>
          <w:lang w:val="ru-RU" w:eastAsia="ru-RU"/>
        </w:rPr>
        <w:t>Перспективные топливные балансы</w:t>
      </w:r>
    </w:p>
    <w:p>
      <w:pPr>
        <w:pStyle w:val="Normal"/>
        <w:rPr>
          <w:rFonts w:cs="Arial"/>
          <w:szCs w:val="26"/>
          <w:lang w:val="ru-RU"/>
        </w:rPr>
      </w:pPr>
      <w:r>
        <w:rPr>
          <w:rFonts w:cs="Arial"/>
          <w:szCs w:val="26"/>
          <w:lang w:val="ru-RU"/>
        </w:rPr>
        <w:t>Топливный баланс является комплексным материальным балансом, охватывающим совокупность взаимозаменяемых топливных ресурсов. Данный баланс увязывает в единое целое частные балансы различных видов топлива, дает характеристику общего объема, распределения и использования.</w:t>
      </w:r>
    </w:p>
    <w:p>
      <w:pPr>
        <w:pStyle w:val="Normal"/>
        <w:rPr>
          <w:rFonts w:cs="Arial"/>
          <w:szCs w:val="26"/>
          <w:lang w:val="ru-RU"/>
        </w:rPr>
      </w:pPr>
      <w:r>
        <w:rPr>
          <w:rFonts w:cs="Arial"/>
          <w:szCs w:val="26"/>
          <w:lang w:val="ru-RU"/>
        </w:rPr>
        <w:t>В перспективном балансе учтено увеличение тепловой нагрузки за счёт подключения объектов перспективного строительства. Изменение тепловой нагрузки, связанное с отключением потребителей или повышения энергоэффективности зданий не отражено.</w:t>
      </w:r>
    </w:p>
    <w:p>
      <w:pPr>
        <w:sectPr>
          <w:footerReference w:type="default" r:id="rId28"/>
          <w:type w:val="nextPage"/>
          <w:pgSz w:w="11906" w:h="16838"/>
          <w:pgMar w:left="1701" w:right="851" w:header="0" w:top="567" w:footer="709" w:bottom="766" w:gutter="0"/>
          <w:pgNumType w:fmt="decimal"/>
          <w:formProt w:val="false"/>
          <w:textDirection w:val="lrTb"/>
          <w:docGrid w:type="default" w:linePitch="360" w:charSpace="4294957055"/>
        </w:sectPr>
        <w:pStyle w:val="Normal"/>
        <w:rPr/>
      </w:pPr>
      <w:r>
        <w:rPr>
          <w:rFonts w:cs="Arial"/>
          <w:szCs w:val="26"/>
          <w:lang w:val="ru-RU"/>
        </w:rPr>
        <w:t xml:space="preserve">Перспективные топливные балансы с учетом увеличения тепловой нагрузки приведены </w:t>
      </w:r>
      <w:r>
        <w:rPr>
          <w:rFonts w:cs="Arial"/>
          <w:szCs w:val="26"/>
          <w:lang w:val="ru-RU"/>
        </w:rPr>
        <w:t xml:space="preserve">в </w:t>
      </w:r>
      <w:r>
        <w:rPr>
          <w:rFonts w:cs="Arial"/>
          <w:szCs w:val="26"/>
          <w:lang w:val="ru-RU"/>
        </w:rPr>
        <w:fldChar w:fldCharType="begin"/>
      </w:r>
      <w:r>
        <w:instrText> REF _Ref392597326 \h </w:instrText>
      </w:r>
      <w:r>
        <w:fldChar w:fldCharType="separate"/>
      </w:r>
      <w:r>
        <w:t>Таблица 19</w:t>
      </w:r>
      <w:r>
        <w:fldChar w:fldCharType="end"/>
      </w:r>
      <w:r>
        <w:rPr>
          <w:rFonts w:cs="Arial"/>
          <w:szCs w:val="26"/>
          <w:lang w:val="ru-RU"/>
        </w:rPr>
        <w:t>.</w:t>
      </w:r>
    </w:p>
    <w:p>
      <w:pPr>
        <w:pStyle w:val="Normal"/>
        <w:suppressLineNumbers/>
        <w:suppressAutoHyphens w:val="true"/>
        <w:jc w:val="right"/>
        <w:textAlignment w:val="baseline"/>
        <w:rPr/>
      </w:pPr>
      <w:bookmarkStart w:id="69" w:name="_Ref392597326"/>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19</w:t>
      </w:r>
      <w:r>
        <w:fldChar w:fldCharType="end"/>
      </w:r>
      <w:bookmarkEnd w:id="69"/>
      <w:r>
        <w:rPr>
          <w:rFonts w:cs="Arial"/>
          <w:iCs/>
          <w:szCs w:val="26"/>
          <w:lang w:val="ru-RU" w:eastAsia="zh-CN"/>
        </w:rPr>
        <w:t xml:space="preserve"> – Перспективные топливные балансы</w:t>
      </w:r>
    </w:p>
    <w:tbl>
      <w:tblPr>
        <w:tblW w:w="14978" w:type="dxa"/>
        <w:jc w:val="left"/>
        <w:tblInd w:w="63"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0" w:type="dxa"/>
          <w:left w:w="68" w:type="dxa"/>
          <w:bottom w:w="0" w:type="dxa"/>
          <w:right w:w="108" w:type="dxa"/>
        </w:tblCellMar>
        <w:tblLook w:val="04a0"/>
      </w:tblPr>
      <w:tblGrid>
        <w:gridCol w:w="979"/>
        <w:gridCol w:w="1549"/>
        <w:gridCol w:w="883"/>
        <w:gridCol w:w="1097"/>
        <w:gridCol w:w="1369"/>
        <w:gridCol w:w="867"/>
        <w:gridCol w:w="1233"/>
        <w:gridCol w:w="1"/>
        <w:gridCol w:w="1548"/>
        <w:gridCol w:w="883"/>
        <w:gridCol w:w="1097"/>
        <w:gridCol w:w="1369"/>
        <w:gridCol w:w="867"/>
        <w:gridCol w:w="1235"/>
      </w:tblGrid>
      <w:tr>
        <w:trPr>
          <w:tblHeader w:val="true"/>
          <w:trHeight w:val="315" w:hRule="atLeast"/>
        </w:trPr>
        <w:tc>
          <w:tcPr>
            <w:tcW w:w="979"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center"/>
          </w:tcPr>
          <w:p>
            <w:pPr>
              <w:pStyle w:val="Normal"/>
              <w:ind w:hanging="0"/>
              <w:jc w:val="center"/>
              <w:rPr>
                <w:rFonts w:cs="Arial"/>
                <w:b/>
                <w:b/>
                <w:bCs/>
                <w:color w:val="000000"/>
                <w:sz w:val="20"/>
                <w:szCs w:val="20"/>
              </w:rPr>
            </w:pPr>
            <w:r>
              <w:rPr>
                <w:rFonts w:cs="Arial"/>
                <w:b/>
                <w:bCs/>
                <w:color w:val="000000"/>
                <w:sz w:val="20"/>
                <w:szCs w:val="20"/>
              </w:rPr>
              <w:t>Источник</w:t>
            </w:r>
          </w:p>
        </w:tc>
        <w:tc>
          <w:tcPr>
            <w:tcW w:w="6999" w:type="dxa"/>
            <w:gridSpan w:val="7"/>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68" w:type="dxa"/>
            </w:tcMar>
            <w:vAlign w:val="center"/>
          </w:tcPr>
          <w:p>
            <w:pPr>
              <w:pStyle w:val="Normal"/>
              <w:ind w:hanging="0"/>
              <w:jc w:val="center"/>
              <w:rPr>
                <w:rFonts w:cs="Arial"/>
                <w:b/>
                <w:b/>
                <w:bCs/>
                <w:color w:val="000000"/>
                <w:sz w:val="20"/>
                <w:szCs w:val="20"/>
              </w:rPr>
            </w:pPr>
            <w:r>
              <w:rPr>
                <w:rFonts w:cs="Arial"/>
                <w:b/>
                <w:bCs/>
                <w:color w:val="000000"/>
                <w:sz w:val="20"/>
                <w:szCs w:val="20"/>
              </w:rPr>
              <w:t>первая очередь</w:t>
            </w:r>
          </w:p>
        </w:tc>
        <w:tc>
          <w:tcPr>
            <w:tcW w:w="6999"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b/>
                <w:b/>
                <w:bCs/>
                <w:color w:val="000000"/>
                <w:sz w:val="20"/>
                <w:szCs w:val="20"/>
              </w:rPr>
            </w:pPr>
            <w:r>
              <w:rPr>
                <w:rFonts w:cs="Arial"/>
                <w:b/>
                <w:bCs/>
                <w:color w:val="000000"/>
                <w:sz w:val="20"/>
                <w:szCs w:val="20"/>
              </w:rPr>
              <w:t>расчетный срок</w:t>
            </w:r>
          </w:p>
        </w:tc>
      </w:tr>
      <w:tr>
        <w:trPr>
          <w:tblHeader w:val="true"/>
          <w:trHeight w:val="1815" w:hRule="atLeast"/>
        </w:trPr>
        <w:tc>
          <w:tcPr>
            <w:tcW w:w="979"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center"/>
          </w:tcPr>
          <w:p>
            <w:pPr>
              <w:pStyle w:val="Normal"/>
              <w:ind w:hanging="0"/>
              <w:jc w:val="center"/>
              <w:rPr>
                <w:rFonts w:cs="Arial"/>
                <w:b/>
                <w:b/>
                <w:bCs/>
                <w:color w:val="000000"/>
                <w:sz w:val="20"/>
                <w:szCs w:val="20"/>
              </w:rPr>
            </w:pPr>
            <w:r>
              <w:rPr>
                <w:rFonts w:cs="Arial"/>
                <w:b/>
                <w:bCs/>
                <w:color w:val="000000"/>
                <w:sz w:val="20"/>
                <w:szCs w:val="20"/>
              </w:rPr>
            </w:r>
          </w:p>
        </w:tc>
        <w:tc>
          <w:tcPr>
            <w:tcW w:w="154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Присоединенная нагрузка, Гкал/ч</w:t>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lang w:val="ru-RU"/>
              </w:rPr>
              <w:t xml:space="preserve">Общий годовой расход топлива, тн. </w:t>
            </w:r>
            <w:r>
              <w:rPr>
                <w:rFonts w:cs="Arial"/>
                <w:b/>
                <w:bCs/>
                <w:color w:val="000000"/>
                <w:sz w:val="20"/>
                <w:szCs w:val="20"/>
              </w:rPr>
              <w:t>(тыс.м</w:t>
            </w:r>
            <w:r>
              <w:rPr>
                <w:rFonts w:cs="Arial"/>
                <w:sz w:val="20"/>
                <w:szCs w:val="20"/>
                <w:vertAlign w:val="superscript"/>
              </w:rPr>
              <w:t>3</w:t>
            </w:r>
            <w:r>
              <w:rPr>
                <w:rFonts w:cs="Arial"/>
                <w:sz w:val="20"/>
                <w:szCs w:val="20"/>
              </w:rPr>
              <w:t>)</w:t>
            </w:r>
          </w:p>
        </w:tc>
        <w:tc>
          <w:tcPr>
            <w:tcW w:w="109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lang w:val="ru-RU"/>
              </w:rPr>
            </w:pPr>
            <w:r>
              <w:rPr>
                <w:rFonts w:cs="Arial"/>
                <w:b/>
                <w:bCs/>
                <w:color w:val="000000"/>
                <w:sz w:val="20"/>
                <w:szCs w:val="20"/>
                <w:lang w:val="ru-RU"/>
              </w:rPr>
              <w:t>Удельная норма расхода топлива (условное),           кг/Гкал</w:t>
            </w:r>
          </w:p>
        </w:tc>
        <w:tc>
          <w:tcPr>
            <w:tcW w:w="136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lang w:val="ru-RU"/>
              </w:rPr>
            </w:pPr>
            <w:r>
              <w:rPr>
                <w:rFonts w:cs="Arial"/>
                <w:b/>
                <w:bCs/>
                <w:color w:val="000000"/>
                <w:sz w:val="20"/>
                <w:szCs w:val="20"/>
                <w:lang w:val="ru-RU"/>
              </w:rPr>
              <w:t>Удельная норма расхода топлива (натуральное),           м3/Гкал</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Топливо</w:t>
            </w:r>
          </w:p>
        </w:tc>
        <w:tc>
          <w:tcPr>
            <w:tcW w:w="123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Выработано, Гкал</w:t>
            </w:r>
          </w:p>
        </w:tc>
        <w:tc>
          <w:tcPr>
            <w:tcW w:w="1549"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Присоединенная нагрузка, Гкал/ч</w:t>
            </w:r>
          </w:p>
        </w:tc>
        <w:tc>
          <w:tcPr>
            <w:tcW w:w="883"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lang w:val="ru-RU"/>
              </w:rPr>
              <w:t xml:space="preserve">Общий годовой расход топлива, тн. </w:t>
            </w:r>
            <w:r>
              <w:rPr>
                <w:rFonts w:cs="Arial"/>
                <w:b/>
                <w:bCs/>
                <w:color w:val="000000"/>
                <w:sz w:val="20"/>
                <w:szCs w:val="20"/>
              </w:rPr>
              <w:t>(тыс.м</w:t>
            </w:r>
            <w:r>
              <w:rPr>
                <w:rFonts w:cs="Arial"/>
                <w:sz w:val="20"/>
                <w:szCs w:val="20"/>
                <w:vertAlign w:val="superscript"/>
              </w:rPr>
              <w:t>3</w:t>
            </w:r>
            <w:r>
              <w:rPr>
                <w:rFonts w:cs="Arial"/>
                <w:sz w:val="20"/>
                <w:szCs w:val="20"/>
              </w:rPr>
              <w:t>)</w:t>
            </w:r>
          </w:p>
        </w:tc>
        <w:tc>
          <w:tcPr>
            <w:tcW w:w="109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lang w:val="ru-RU"/>
              </w:rPr>
            </w:pPr>
            <w:r>
              <w:rPr>
                <w:rFonts w:cs="Arial"/>
                <w:b/>
                <w:bCs/>
                <w:color w:val="000000"/>
                <w:sz w:val="20"/>
                <w:szCs w:val="20"/>
                <w:lang w:val="ru-RU"/>
              </w:rPr>
              <w:t>Удельная норма расхода топлива (условное),           кг/Гкал</w:t>
            </w:r>
          </w:p>
        </w:tc>
        <w:tc>
          <w:tcPr>
            <w:tcW w:w="1369"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lang w:val="ru-RU"/>
              </w:rPr>
            </w:pPr>
            <w:r>
              <w:rPr>
                <w:rFonts w:cs="Arial"/>
                <w:b/>
                <w:bCs/>
                <w:color w:val="000000"/>
                <w:sz w:val="20"/>
                <w:szCs w:val="20"/>
                <w:lang w:val="ru-RU"/>
              </w:rPr>
              <w:t>Удельная норма расхода топлива (натуральное),           м3/Гкал</w:t>
            </w:r>
          </w:p>
        </w:tc>
        <w:tc>
          <w:tcPr>
            <w:tcW w:w="867"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Топливо</w:t>
            </w:r>
          </w:p>
        </w:tc>
        <w:tc>
          <w:tcPr>
            <w:tcW w:w="1235"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Выработано, Гкал</w:t>
            </w:r>
          </w:p>
        </w:tc>
      </w:tr>
      <w:tr>
        <w:trPr>
          <w:trHeight w:val="315" w:hRule="atLeast"/>
        </w:trPr>
        <w:tc>
          <w:tcPr>
            <w:tcW w:w="979"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Котельная №1</w:t>
            </w:r>
          </w:p>
        </w:tc>
        <w:tc>
          <w:tcPr>
            <w:tcW w:w="1549"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5.45</w:t>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2190.84</w:t>
            </w:r>
          </w:p>
        </w:tc>
        <w:tc>
          <w:tcPr>
            <w:tcW w:w="1097" w:type="dxa"/>
            <w:vMerge w:val="restart"/>
            <w:tcBorders>
              <w:top w:val="single" w:sz="4" w:space="0" w:color="00000A"/>
              <w:left w:val="single" w:sz="4" w:space="0" w:color="00000A"/>
              <w:bottom w:val="single" w:sz="8" w:space="0" w:color="000001"/>
              <w:right w:val="single" w:sz="4" w:space="0" w:color="00000A"/>
              <w:insideH w:val="single" w:sz="8" w:space="0" w:color="000001"/>
              <w:insideV w:val="single" w:sz="4"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154.72</w:t>
            </w:r>
          </w:p>
        </w:tc>
        <w:tc>
          <w:tcPr>
            <w:tcW w:w="136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134.54</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Газ</w:t>
            </w:r>
          </w:p>
        </w:tc>
        <w:tc>
          <w:tcPr>
            <w:tcW w:w="1233"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16283.9</w:t>
            </w:r>
          </w:p>
        </w:tc>
        <w:tc>
          <w:tcPr>
            <w:tcW w:w="1549" w:type="dxa"/>
            <w:gridSpan w:val="2"/>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10,0</w:t>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w w:val="90"/>
                <w:sz w:val="20"/>
                <w:szCs w:val="20"/>
              </w:rPr>
            </w:pPr>
            <w:r>
              <w:rPr>
                <w:rFonts w:cs="Arial"/>
                <w:color w:val="000000"/>
                <w:w w:val="90"/>
                <w:sz w:val="20"/>
                <w:szCs w:val="20"/>
              </w:rPr>
              <w:t>4019.89</w:t>
            </w:r>
          </w:p>
        </w:tc>
        <w:tc>
          <w:tcPr>
            <w:tcW w:w="1097" w:type="dxa"/>
            <w:vMerge w:val="restart"/>
            <w:tcBorders>
              <w:top w:val="single" w:sz="4" w:space="0" w:color="00000A"/>
              <w:left w:val="single" w:sz="4" w:space="0" w:color="00000A"/>
              <w:bottom w:val="single" w:sz="8" w:space="0" w:color="000001"/>
              <w:right w:val="single" w:sz="4" w:space="0" w:color="00000A"/>
              <w:insideH w:val="single" w:sz="8" w:space="0" w:color="000001"/>
              <w:insideV w:val="single" w:sz="4"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154.72</w:t>
            </w:r>
          </w:p>
        </w:tc>
        <w:tc>
          <w:tcPr>
            <w:tcW w:w="136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134.54</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Газ</w:t>
            </w:r>
          </w:p>
        </w:tc>
        <w:tc>
          <w:tcPr>
            <w:tcW w:w="1235" w:type="dxa"/>
            <w:vMerge w:val="restart"/>
            <w:tcBorders>
              <w:top w:val="single" w:sz="8" w:space="0" w:color="000001"/>
              <w:left w:val="single" w:sz="8" w:space="0" w:color="00000A"/>
              <w:bottom w:val="single" w:sz="8" w:space="0" w:color="000001"/>
              <w:right w:val="single" w:sz="8" w:space="0" w:color="00000A"/>
              <w:insideH w:val="single" w:sz="8" w:space="0" w:color="000001"/>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29878.8</w:t>
            </w:r>
          </w:p>
        </w:tc>
      </w:tr>
      <w:tr>
        <w:trPr>
          <w:trHeight w:val="315" w:hRule="atLeast"/>
        </w:trPr>
        <w:tc>
          <w:tcPr>
            <w:tcW w:w="979" w:type="dxa"/>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r>
          </w:p>
        </w:tc>
        <w:tc>
          <w:tcPr>
            <w:tcW w:w="1549" w:type="dxa"/>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1796,11</w:t>
            </w:r>
          </w:p>
        </w:tc>
        <w:tc>
          <w:tcPr>
            <w:tcW w:w="109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r>
          </w:p>
        </w:tc>
        <w:tc>
          <w:tcPr>
            <w:tcW w:w="1369"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110.3</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Нефть</w:t>
            </w:r>
          </w:p>
        </w:tc>
        <w:tc>
          <w:tcPr>
            <w:tcW w:w="1233" w:type="dxa"/>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r>
          </w:p>
        </w:tc>
        <w:tc>
          <w:tcPr>
            <w:tcW w:w="1549" w:type="dxa"/>
            <w:gridSpan w:val="2"/>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w w:val="90"/>
                <w:sz w:val="20"/>
                <w:szCs w:val="20"/>
              </w:rPr>
            </w:pPr>
            <w:r>
              <w:rPr>
                <w:rFonts w:cs="Arial"/>
                <w:color w:val="000000"/>
                <w:w w:val="90"/>
                <w:sz w:val="20"/>
                <w:szCs w:val="20"/>
              </w:rPr>
              <w:t>3295,63</w:t>
            </w:r>
          </w:p>
        </w:tc>
        <w:tc>
          <w:tcPr>
            <w:tcW w:w="109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r>
          </w:p>
        </w:tc>
        <w:tc>
          <w:tcPr>
            <w:tcW w:w="1369"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110.3</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Нефть</w:t>
            </w:r>
          </w:p>
        </w:tc>
        <w:tc>
          <w:tcPr>
            <w:tcW w:w="1235" w:type="dxa"/>
            <w:vMerge w:val="continue"/>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r>
          </w:p>
        </w:tc>
      </w:tr>
      <w:tr>
        <w:trPr>
          <w:trHeight w:val="315" w:hRule="atLeast"/>
        </w:trPr>
        <w:tc>
          <w:tcPr>
            <w:tcW w:w="9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Котельная №2</w:t>
            </w:r>
          </w:p>
        </w:tc>
        <w:tc>
          <w:tcPr>
            <w:tcW w:w="154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0.06</w:t>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22.93</w:t>
            </w:r>
          </w:p>
        </w:tc>
        <w:tc>
          <w:tcPr>
            <w:tcW w:w="1097" w:type="dxa"/>
            <w:tcBorders>
              <w:top w:val="single" w:sz="8"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154.20</w:t>
            </w:r>
          </w:p>
        </w:tc>
        <w:tc>
          <w:tcPr>
            <w:tcW w:w="136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134.09</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Газ</w:t>
            </w:r>
          </w:p>
        </w:tc>
        <w:tc>
          <w:tcPr>
            <w:tcW w:w="123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171.0</w:t>
            </w:r>
          </w:p>
        </w:tc>
        <w:tc>
          <w:tcPr>
            <w:tcW w:w="15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0.06</w:t>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w w:val="90"/>
                <w:sz w:val="20"/>
                <w:szCs w:val="20"/>
              </w:rPr>
            </w:pPr>
            <w:r>
              <w:rPr>
                <w:rFonts w:cs="Arial"/>
                <w:color w:val="000000"/>
                <w:w w:val="90"/>
                <w:sz w:val="20"/>
                <w:szCs w:val="20"/>
              </w:rPr>
              <w:t>22.93</w:t>
            </w:r>
          </w:p>
        </w:tc>
        <w:tc>
          <w:tcPr>
            <w:tcW w:w="1097" w:type="dxa"/>
            <w:tcBorders>
              <w:top w:val="single" w:sz="8"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154.20</w:t>
            </w:r>
          </w:p>
        </w:tc>
        <w:tc>
          <w:tcPr>
            <w:tcW w:w="136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134.09</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Газ</w:t>
            </w:r>
          </w:p>
        </w:tc>
        <w:tc>
          <w:tcPr>
            <w:tcW w:w="12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171.0</w:t>
            </w:r>
          </w:p>
        </w:tc>
      </w:tr>
      <w:tr>
        <w:trPr>
          <w:trHeight w:val="315" w:hRule="atLeast"/>
        </w:trPr>
        <w:tc>
          <w:tcPr>
            <w:tcW w:w="9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Котельная №4</w:t>
            </w:r>
          </w:p>
        </w:tc>
        <w:tc>
          <w:tcPr>
            <w:tcW w:w="154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0.10</w:t>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14.87</w:t>
            </w:r>
          </w:p>
        </w:tc>
        <w:tc>
          <w:tcPr>
            <w:tcW w:w="1097" w:type="dxa"/>
            <w:tcBorders>
              <w:top w:val="single" w:sz="8"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165.30</w:t>
            </w:r>
          </w:p>
        </w:tc>
        <w:tc>
          <w:tcPr>
            <w:tcW w:w="136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143.74</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Газ</w:t>
            </w:r>
          </w:p>
        </w:tc>
        <w:tc>
          <w:tcPr>
            <w:tcW w:w="123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103.5</w:t>
            </w:r>
          </w:p>
        </w:tc>
        <w:tc>
          <w:tcPr>
            <w:tcW w:w="15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0.10</w:t>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w w:val="90"/>
                <w:sz w:val="20"/>
                <w:szCs w:val="20"/>
              </w:rPr>
            </w:pPr>
            <w:r>
              <w:rPr>
                <w:rFonts w:cs="Arial"/>
                <w:color w:val="000000"/>
                <w:w w:val="90"/>
                <w:sz w:val="20"/>
                <w:szCs w:val="20"/>
              </w:rPr>
              <w:t>14.87</w:t>
            </w:r>
          </w:p>
        </w:tc>
        <w:tc>
          <w:tcPr>
            <w:tcW w:w="1097" w:type="dxa"/>
            <w:tcBorders>
              <w:top w:val="single" w:sz="8"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165.30</w:t>
            </w:r>
          </w:p>
        </w:tc>
        <w:tc>
          <w:tcPr>
            <w:tcW w:w="136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143.74</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Газ</w:t>
            </w:r>
          </w:p>
        </w:tc>
        <w:tc>
          <w:tcPr>
            <w:tcW w:w="12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103.5</w:t>
            </w:r>
          </w:p>
        </w:tc>
      </w:tr>
      <w:tr>
        <w:trPr>
          <w:trHeight w:val="315" w:hRule="atLeast"/>
        </w:trPr>
        <w:tc>
          <w:tcPr>
            <w:tcW w:w="9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Котельная №5</w:t>
            </w:r>
          </w:p>
        </w:tc>
        <w:tc>
          <w:tcPr>
            <w:tcW w:w="154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1.59</w:t>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64.06</w:t>
            </w:r>
          </w:p>
        </w:tc>
        <w:tc>
          <w:tcPr>
            <w:tcW w:w="1097"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154.93</w:t>
            </w:r>
          </w:p>
        </w:tc>
        <w:tc>
          <w:tcPr>
            <w:tcW w:w="136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134.72</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Газ</w:t>
            </w:r>
          </w:p>
        </w:tc>
        <w:tc>
          <w:tcPr>
            <w:tcW w:w="123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475.5</w:t>
            </w:r>
          </w:p>
        </w:tc>
        <w:tc>
          <w:tcPr>
            <w:tcW w:w="15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1.59</w:t>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w w:val="90"/>
                <w:sz w:val="20"/>
                <w:szCs w:val="20"/>
              </w:rPr>
            </w:pPr>
            <w:r>
              <w:rPr>
                <w:rFonts w:cs="Arial"/>
                <w:color w:val="000000"/>
                <w:w w:val="90"/>
                <w:sz w:val="20"/>
                <w:szCs w:val="20"/>
              </w:rPr>
              <w:t>64.06</w:t>
            </w:r>
          </w:p>
        </w:tc>
        <w:tc>
          <w:tcPr>
            <w:tcW w:w="1097"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154.93</w:t>
            </w:r>
          </w:p>
        </w:tc>
        <w:tc>
          <w:tcPr>
            <w:tcW w:w="136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134.72</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Газ</w:t>
            </w:r>
          </w:p>
        </w:tc>
        <w:tc>
          <w:tcPr>
            <w:tcW w:w="12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475.5</w:t>
            </w:r>
          </w:p>
        </w:tc>
      </w:tr>
      <w:tr>
        <w:trPr>
          <w:trHeight w:val="315" w:hRule="atLeast"/>
        </w:trPr>
        <w:tc>
          <w:tcPr>
            <w:tcW w:w="97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Котельная №6</w:t>
            </w:r>
          </w:p>
        </w:tc>
        <w:tc>
          <w:tcPr>
            <w:tcW w:w="154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0.45</w:t>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783.98</w:t>
            </w:r>
          </w:p>
        </w:tc>
        <w:tc>
          <w:tcPr>
            <w:tcW w:w="1097"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157.74</w:t>
            </w:r>
          </w:p>
        </w:tc>
        <w:tc>
          <w:tcPr>
            <w:tcW w:w="136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110.31</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Нефть</w:t>
            </w:r>
          </w:p>
        </w:tc>
        <w:tc>
          <w:tcPr>
            <w:tcW w:w="123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7107.1</w:t>
            </w:r>
          </w:p>
        </w:tc>
        <w:tc>
          <w:tcPr>
            <w:tcW w:w="15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0.45</w:t>
            </w:r>
          </w:p>
        </w:tc>
        <w:tc>
          <w:tcPr>
            <w:tcW w:w="8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w w:val="90"/>
                <w:sz w:val="20"/>
                <w:szCs w:val="20"/>
              </w:rPr>
            </w:pPr>
            <w:r>
              <w:rPr>
                <w:rFonts w:cs="Arial"/>
                <w:color w:val="000000"/>
                <w:w w:val="90"/>
                <w:sz w:val="20"/>
                <w:szCs w:val="20"/>
              </w:rPr>
              <w:t>783.98</w:t>
            </w:r>
          </w:p>
        </w:tc>
        <w:tc>
          <w:tcPr>
            <w:tcW w:w="1097"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157.74</w:t>
            </w:r>
          </w:p>
        </w:tc>
        <w:tc>
          <w:tcPr>
            <w:tcW w:w="136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110.31</w:t>
            </w:r>
          </w:p>
        </w:tc>
        <w:tc>
          <w:tcPr>
            <w:tcW w:w="86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Нефть</w:t>
            </w:r>
          </w:p>
        </w:tc>
        <w:tc>
          <w:tcPr>
            <w:tcW w:w="123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7107.1</w:t>
            </w:r>
          </w:p>
        </w:tc>
      </w:tr>
      <w:tr>
        <w:trPr>
          <w:trHeight w:val="315" w:hRule="atLeast"/>
        </w:trPr>
        <w:tc>
          <w:tcPr>
            <w:tcW w:w="97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Котельная №7</w:t>
            </w:r>
          </w:p>
        </w:tc>
        <w:tc>
          <w:tcPr>
            <w:tcW w:w="154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0.04</w:t>
            </w:r>
          </w:p>
        </w:tc>
        <w:tc>
          <w:tcPr>
            <w:tcW w:w="88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57.39</w:t>
            </w:r>
          </w:p>
        </w:tc>
        <w:tc>
          <w:tcPr>
            <w:tcW w:w="1097"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sz w:val="20"/>
                <w:szCs w:val="20"/>
              </w:rPr>
            </w:pPr>
            <w:r>
              <w:rPr>
                <w:rFonts w:cs="Arial"/>
                <w:sz w:val="20"/>
                <w:szCs w:val="20"/>
              </w:rPr>
              <w:t>205.80</w:t>
            </w:r>
          </w:p>
        </w:tc>
        <w:tc>
          <w:tcPr>
            <w:tcW w:w="136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773.68</w:t>
            </w:r>
          </w:p>
        </w:tc>
        <w:tc>
          <w:tcPr>
            <w:tcW w:w="86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Дрова</w:t>
            </w:r>
          </w:p>
        </w:tc>
        <w:tc>
          <w:tcPr>
            <w:tcW w:w="123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74.2</w:t>
            </w:r>
          </w:p>
        </w:tc>
        <w:tc>
          <w:tcPr>
            <w:tcW w:w="1549"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0.04</w:t>
            </w:r>
          </w:p>
        </w:tc>
        <w:tc>
          <w:tcPr>
            <w:tcW w:w="88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57.39</w:t>
            </w:r>
          </w:p>
        </w:tc>
        <w:tc>
          <w:tcPr>
            <w:tcW w:w="1097"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sz w:val="20"/>
                <w:szCs w:val="20"/>
              </w:rPr>
            </w:pPr>
            <w:r>
              <w:rPr>
                <w:rFonts w:cs="Arial"/>
                <w:sz w:val="20"/>
                <w:szCs w:val="20"/>
              </w:rPr>
              <w:t>205.80</w:t>
            </w:r>
          </w:p>
        </w:tc>
        <w:tc>
          <w:tcPr>
            <w:tcW w:w="136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773.68</w:t>
            </w:r>
          </w:p>
        </w:tc>
        <w:tc>
          <w:tcPr>
            <w:tcW w:w="867"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Дрова</w:t>
            </w:r>
          </w:p>
        </w:tc>
        <w:tc>
          <w:tcPr>
            <w:tcW w:w="1235"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Normal"/>
              <w:ind w:hanging="0"/>
              <w:jc w:val="center"/>
              <w:rPr>
                <w:rFonts w:cs="Arial"/>
                <w:color w:val="000000"/>
                <w:sz w:val="20"/>
                <w:szCs w:val="20"/>
              </w:rPr>
            </w:pPr>
            <w:r>
              <w:rPr>
                <w:rFonts w:cs="Arial"/>
                <w:color w:val="000000"/>
                <w:sz w:val="20"/>
                <w:szCs w:val="20"/>
              </w:rPr>
              <w:t>74.2</w:t>
            </w:r>
          </w:p>
        </w:tc>
      </w:tr>
      <w:tr>
        <w:trPr>
          <w:trHeight w:val="315" w:hRule="atLeast"/>
        </w:trPr>
        <w:tc>
          <w:tcPr>
            <w:tcW w:w="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Котельная ООО «Газпром энерго»</w:t>
            </w:r>
          </w:p>
        </w:tc>
        <w:tc>
          <w:tcPr>
            <w:tcW w:w="15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0,36</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388,91</w:t>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160,6</w:t>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140,6</w:t>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Газ</w:t>
            </w:r>
          </w:p>
        </w:tc>
        <w:tc>
          <w:tcPr>
            <w:tcW w:w="12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2766</w:t>
            </w:r>
          </w:p>
        </w:tc>
        <w:tc>
          <w:tcPr>
            <w:tcW w:w="15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0,36</w:t>
            </w:r>
          </w:p>
        </w:tc>
        <w:tc>
          <w:tcPr>
            <w:tcW w:w="88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388,91</w:t>
            </w:r>
          </w:p>
        </w:tc>
        <w:tc>
          <w:tcPr>
            <w:tcW w:w="10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sz w:val="20"/>
                <w:szCs w:val="20"/>
              </w:rPr>
            </w:pPr>
            <w:r>
              <w:rPr>
                <w:rFonts w:cs="Arial"/>
                <w:sz w:val="20"/>
                <w:szCs w:val="20"/>
              </w:rPr>
              <w:t>160,6</w:t>
            </w:r>
          </w:p>
        </w:tc>
        <w:tc>
          <w:tcPr>
            <w:tcW w:w="1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140,6</w:t>
            </w:r>
          </w:p>
        </w:tc>
        <w:tc>
          <w:tcPr>
            <w:tcW w:w="8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Газ</w:t>
            </w:r>
          </w:p>
        </w:tc>
        <w:tc>
          <w:tcPr>
            <w:tcW w:w="12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2766</w:t>
            </w:r>
          </w:p>
        </w:tc>
      </w:tr>
    </w:tbl>
    <w:p>
      <w:pPr>
        <w:sectPr>
          <w:footerReference w:type="default" r:id="rId29"/>
          <w:type w:val="nextPage"/>
          <w:pgSz w:orient="landscape" w:w="16838" w:h="11906"/>
          <w:pgMar w:left="1701" w:right="851" w:header="0" w:top="567" w:footer="709" w:bottom="766" w:gutter="0"/>
          <w:pgNumType w:fmt="decimal"/>
          <w:formProt w:val="false"/>
          <w:textDirection w:val="lrTb"/>
          <w:docGrid w:type="default" w:linePitch="360" w:charSpace="4294957055"/>
        </w:sectPr>
      </w:pPr>
    </w:p>
    <w:p>
      <w:pPr>
        <w:pStyle w:val="Normal"/>
        <w:numPr>
          <w:ilvl w:val="0"/>
          <w:numId w:val="1"/>
        </w:numPr>
        <w:spacing w:before="0" w:after="0"/>
        <w:ind w:left="0" w:hanging="0"/>
        <w:contextualSpacing/>
        <w:jc w:val="center"/>
        <w:outlineLvl w:val="0"/>
        <w:rPr>
          <w:rFonts w:cs="Arial"/>
          <w:b/>
          <w:b/>
          <w:szCs w:val="26"/>
          <w:lang w:val="ru-RU" w:eastAsia="ru-RU"/>
        </w:rPr>
      </w:pPr>
      <w:bookmarkStart w:id="70" w:name="_Toc398022686"/>
      <w:r>
        <w:rPr>
          <w:rFonts w:cs="Arial"/>
          <w:b/>
          <w:szCs w:val="26"/>
          <w:lang w:val="ru-RU" w:eastAsia="ru-RU"/>
        </w:rPr>
        <w:t>Инвестиции в строительство, реконструкцию и техническое перевооружение</w:t>
      </w:r>
      <w:bookmarkEnd w:id="70"/>
      <w:r>
        <w:rPr>
          <w:rFonts w:cs="Arial"/>
          <w:b/>
          <w:szCs w:val="26"/>
          <w:lang w:val="ru-RU" w:eastAsia="ru-RU"/>
        </w:rPr>
        <w:t xml:space="preserve"> </w:t>
      </w:r>
    </w:p>
    <w:p>
      <w:pPr>
        <w:pStyle w:val="Normal"/>
        <w:numPr>
          <w:ilvl w:val="1"/>
          <w:numId w:val="1"/>
        </w:numPr>
        <w:ind w:left="0" w:hanging="0"/>
        <w:jc w:val="center"/>
        <w:outlineLvl w:val="1"/>
        <w:rPr>
          <w:rFonts w:cs="Arial"/>
          <w:b/>
          <w:b/>
          <w:szCs w:val="26"/>
          <w:lang w:val="ru-RU" w:eastAsia="ru-RU"/>
        </w:rPr>
      </w:pPr>
      <w:bookmarkStart w:id="71" w:name="_Toc398022687"/>
      <w:bookmarkEnd w:id="71"/>
      <w:r>
        <w:rPr>
          <w:rFonts w:cs="Arial"/>
          <w:b/>
          <w:szCs w:val="26"/>
          <w:lang w:val="ru-RU"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pPr>
        <w:pStyle w:val="Normal"/>
        <w:rPr>
          <w:rFonts w:cs="Arial"/>
          <w:szCs w:val="26"/>
          <w:lang w:val="ru-RU"/>
        </w:rPr>
      </w:pPr>
      <w:r>
        <w:rPr>
          <w:rFonts w:cs="Arial"/>
          <w:szCs w:val="26"/>
          <w:lang w:val="ru-RU"/>
        </w:rPr>
        <w:t>Исходя из данных генерального плана развития п. Туртас увеличение присоединенной нагрузки планируется на центральную котельную №1 (до 10 Гкал/ч на расчетный срок), что предполагает увеличение установленной мощности котельной с 7,38 Гкал/ч до 12 Гкал/ч. В связи с этим предполагается установка блочно-модульной котельной 12 Гкал/ч на базе старой котельной (до 2030 г.).</w:t>
      </w:r>
    </w:p>
    <w:p>
      <w:pPr>
        <w:pStyle w:val="Normal"/>
        <w:rPr>
          <w:rFonts w:cs="Arial"/>
          <w:szCs w:val="26"/>
          <w:lang w:val="ru-RU"/>
        </w:rPr>
      </w:pPr>
      <w:r>
        <w:rPr>
          <w:rFonts w:cs="Arial"/>
          <w:szCs w:val="26"/>
          <w:lang w:val="ru-RU"/>
        </w:rPr>
        <w:t>Так же на первую очередь (до 2020г.) планируется реконструкция котельных №6 и №7 в связи с моральным и физическим износом основного оборудования котельных (срок ввода в эксплуатацию 1978 г и 1986 г соответственно). Реконструкция предполагает замена устаревших котлоагрегатов на новые с аналогичной мощностью.</w:t>
      </w:r>
    </w:p>
    <w:p>
      <w:pPr>
        <w:pStyle w:val="Normal"/>
        <w:rPr>
          <w:lang w:val="ru-RU"/>
        </w:rPr>
      </w:pPr>
      <w:r>
        <w:rPr>
          <w:rFonts w:cs="Arial"/>
          <w:szCs w:val="26"/>
          <w:lang w:val="ru-RU"/>
        </w:rPr>
        <w:t xml:space="preserve">Стоимость работ по проектированию, монтажу и наладке (согласно </w:t>
      </w:r>
      <w:r>
        <w:rPr>
          <w:rFonts w:cs="Arial"/>
          <w:szCs w:val="26"/>
        </w:rPr>
        <w:t>http</w:t>
      </w:r>
      <w:r>
        <w:rPr>
          <w:rFonts w:cs="Arial"/>
          <w:szCs w:val="26"/>
          <w:lang w:val="ru-RU"/>
        </w:rPr>
        <w:t>://</w:t>
      </w:r>
      <w:r>
        <w:rPr>
          <w:rFonts w:cs="Arial"/>
          <w:szCs w:val="26"/>
        </w:rPr>
        <w:t>www</w:t>
      </w:r>
      <w:r>
        <w:rPr>
          <w:rFonts w:cs="Arial"/>
          <w:szCs w:val="26"/>
          <w:lang w:val="ru-RU"/>
        </w:rPr>
        <w:t>.</w:t>
      </w:r>
      <w:r>
        <w:rPr>
          <w:rFonts w:cs="Arial"/>
          <w:szCs w:val="26"/>
        </w:rPr>
        <w:t>teploelectromontag</w:t>
      </w:r>
      <w:r>
        <w:rPr>
          <w:rFonts w:cs="Arial"/>
          <w:szCs w:val="26"/>
          <w:lang w:val="ru-RU"/>
        </w:rPr>
        <w:t>.</w:t>
      </w:r>
      <w:r>
        <w:rPr>
          <w:rFonts w:cs="Arial"/>
          <w:szCs w:val="26"/>
        </w:rPr>
        <w:t>ru</w:t>
      </w:r>
      <w:r>
        <w:rPr>
          <w:rFonts w:cs="Arial"/>
          <w:szCs w:val="26"/>
          <w:lang w:val="ru-RU"/>
        </w:rPr>
        <w:t>/</w:t>
      </w:r>
      <w:r>
        <w:rPr>
          <w:rFonts w:cs="Arial"/>
          <w:szCs w:val="26"/>
        </w:rPr>
        <w:t>itp</w:t>
      </w:r>
      <w:r>
        <w:rPr>
          <w:rFonts w:cs="Arial"/>
          <w:szCs w:val="26"/>
          <w:lang w:val="ru-RU"/>
        </w:rPr>
        <w:t>/</w:t>
      </w:r>
      <w:r>
        <w:rPr>
          <w:rFonts w:cs="Arial"/>
          <w:szCs w:val="26"/>
        </w:rPr>
        <w:t>index</w:t>
      </w:r>
      <w:r>
        <w:rPr>
          <w:rFonts w:cs="Arial"/>
          <w:szCs w:val="26"/>
          <w:lang w:val="ru-RU"/>
        </w:rPr>
        <w:t>.</w:t>
      </w:r>
      <w:r>
        <w:rPr>
          <w:rFonts w:cs="Arial"/>
          <w:szCs w:val="26"/>
        </w:rPr>
        <w:t>html</w:t>
      </w:r>
      <w:r>
        <w:rPr>
          <w:rFonts w:cs="Arial"/>
          <w:szCs w:val="26"/>
          <w:lang w:val="ru-RU"/>
        </w:rPr>
        <w:t xml:space="preserve">) приведена в </w:t>
      </w:r>
    </w:p>
    <w:p>
      <w:pPr>
        <w:pStyle w:val="Normal"/>
        <w:suppressLineNumbers/>
        <w:suppressAutoHyphens w:val="true"/>
        <w:jc w:val="right"/>
        <w:textAlignment w:val="baseline"/>
        <w:rPr/>
      </w:pPr>
      <w:r>
        <w:rPr/>
      </w:r>
    </w:p>
    <w:p>
      <w:pPr>
        <w:pStyle w:val="Normal"/>
        <w:rPr>
          <w:lang w:val="ru-RU"/>
        </w:rPr>
      </w:pPr>
      <w:r>
        <w:rPr/>
        <w:fldChar w:fldCharType="begin"/>
      </w:r>
      <w:r>
        <w:instrText> REF _Ref396127998 \h </w:instrText>
      </w:r>
      <w:r>
        <w:fldChar w:fldCharType="separate"/>
      </w:r>
      <w:r/>
      <w:r>
        <w:fldChar w:fldCharType="end"/>
      </w:r>
      <w:r>
        <w:rPr>
          <w:rFonts w:cs="Arial"/>
          <w:szCs w:val="26"/>
          <w:lang w:val="ru-RU"/>
        </w:rPr>
        <w:t>.</w:t>
      </w:r>
    </w:p>
    <w:p>
      <w:pPr>
        <w:pStyle w:val="Normal"/>
        <w:suppressLineNumbers/>
        <w:suppressAutoHyphens w:val="true"/>
        <w:jc w:val="right"/>
        <w:textAlignment w:val="baseline"/>
        <w:rPr>
          <w:rFonts w:cs="Arial"/>
          <w:iCs/>
          <w:szCs w:val="26"/>
          <w:lang w:val="ru-RU" w:eastAsia="zh-CN"/>
        </w:rPr>
      </w:pPr>
      <w:bookmarkStart w:id="72" w:name="_Ref396127998"/>
      <w:bookmarkStart w:id="73" w:name="_Ref396127998"/>
      <w:r>
        <w:rPr>
          <w:rFonts w:cs="Arial"/>
          <w:iCs/>
          <w:szCs w:val="26"/>
          <w:lang w:val="ru-RU" w:eastAsia="zh-CN"/>
        </w:rPr>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20</w:t>
      </w:r>
      <w:r>
        <w:fldChar w:fldCharType="end"/>
      </w:r>
      <w:bookmarkEnd w:id="73"/>
      <w:r>
        <w:rPr>
          <w:rFonts w:cs="Arial"/>
          <w:iCs/>
          <w:szCs w:val="26"/>
          <w:lang w:val="ru-RU" w:eastAsia="zh-CN"/>
        </w:rPr>
        <w:t xml:space="preserve"> – Укрупненная стоимость работ по </w:t>
      </w:r>
    </w:p>
    <w:p>
      <w:pPr>
        <w:pStyle w:val="Normal"/>
        <w:suppressLineNumbers/>
        <w:suppressAutoHyphens w:val="true"/>
        <w:jc w:val="right"/>
        <w:textAlignment w:val="baseline"/>
        <w:rPr>
          <w:rFonts w:cs="Arial"/>
          <w:iCs/>
          <w:szCs w:val="26"/>
          <w:lang w:val="ru-RU" w:eastAsia="zh-CN"/>
        </w:rPr>
      </w:pPr>
      <w:r>
        <w:rPr>
          <w:rFonts w:cs="Arial"/>
          <w:iCs/>
          <w:szCs w:val="26"/>
          <w:lang w:val="ru-RU" w:eastAsia="zh-CN"/>
        </w:rPr>
        <w:t>проектированию, монтажу и наладке объектов теплоснабжения</w:t>
      </w:r>
    </w:p>
    <w:p>
      <w:pPr>
        <w:pStyle w:val="Normal"/>
        <w:suppressLineNumbers/>
        <w:suppressAutoHyphens w:val="true"/>
        <w:jc w:val="right"/>
        <w:textAlignment w:val="baseline"/>
        <w:rPr>
          <w:rFonts w:cs="Arial"/>
          <w:iCs/>
          <w:color w:val="263640"/>
          <w:szCs w:val="26"/>
          <w:lang w:val="ru-RU" w:eastAsia="zh-CN"/>
        </w:rPr>
      </w:pPr>
      <w:r>
        <w:rPr>
          <w:rFonts w:cs="Arial"/>
          <w:iCs/>
          <w:color w:val="263640"/>
          <w:szCs w:val="26"/>
          <w:lang w:val="ru-RU" w:eastAsia="zh-CN"/>
        </w:rPr>
      </w:r>
    </w:p>
    <w:p>
      <w:pPr>
        <w:pStyle w:val="Normal"/>
        <w:suppressLineNumbers/>
        <w:suppressAutoHyphens w:val="true"/>
        <w:textAlignment w:val="baseline"/>
        <w:rPr>
          <w:rFonts w:cs="Arial"/>
          <w:iCs/>
          <w:szCs w:val="26"/>
          <w:lang w:val="ru-RU" w:eastAsia="zh-CN"/>
        </w:rPr>
      </w:pPr>
      <w:r>
        <w:rPr>
          <w:rFonts w:cs="Arial"/>
          <w:iCs/>
          <w:szCs w:val="26"/>
          <w:lang w:val="ru-RU" w:eastAsia="zh-CN"/>
        </w:rPr>
      </w:r>
      <w:r>
        <mc:AlternateContent>
          <mc:Choice Requires="wps">
            <w:drawing>
              <wp:anchor behindDoc="0" distT="0" distB="0" distL="114300" distR="114300" simplePos="0" locked="0" layoutInCell="1" allowOverlap="1" relativeHeight="3">
                <wp:simplePos x="0" y="0"/>
                <wp:positionH relativeFrom="column">
                  <wp:posOffset>-3175</wp:posOffset>
                </wp:positionH>
                <wp:positionV relativeFrom="paragraph">
                  <wp:posOffset>635</wp:posOffset>
                </wp:positionV>
                <wp:extent cx="5938520" cy="1566545"/>
                <wp:effectExtent l="0" t="0" r="0" b="0"/>
                <wp:wrapNone/>
                <wp:docPr id="20" name=""/>
                <a:graphic xmlns:a="http://schemas.openxmlformats.org/drawingml/2006/main">
                  <a:graphicData uri="http://schemas.microsoft.com/office/word/2010/wordprocessingShape">
                    <wps:wsp>
                      <wps:cNvSpPr txBox="1"/>
                      <wps:spPr>
                        <a:xfrm>
                          <a:off x="0" y="0"/>
                          <a:ext cx="5938520" cy="1566545"/>
                        </a:xfrm>
                        <a:prstGeom prst="rect"/>
                      </wps:spPr>
                      <wps:txbx>
                        <w:txbxContent>
                          <w:tbl>
                            <w:tblPr>
                              <w:tblW w:w="5000" w:type="pct"/>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4a0"/>
                            </w:tblPr>
                            <w:tblGrid>
                              <w:gridCol w:w="7131"/>
                              <w:gridCol w:w="1932"/>
                            </w:tblGrid>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1.Проектирование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440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2.Проектирование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220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Проектирование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220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Монтаж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2500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Монтаж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1600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Монтаж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1600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и режимная наладка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150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для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140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для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140 рублей/кВт.</w:t>
                                  </w:r>
                                </w:p>
                              </w:tc>
                            </w:tr>
                          </w:tbl>
                          <w:p>
                            <w:pPr>
                              <w:pStyle w:val="Style45"/>
                              <w:rPr/>
                            </w:pPr>
                            <w:r>
                              <w:rPr/>
                            </w:r>
                          </w:p>
                        </w:txbxContent>
                      </wps:txbx>
                      <wps:bodyPr anchor="t" lIns="91440" tIns="45720" rIns="91440" bIns="45720">
                        <a:noAutofit/>
                      </wps:bodyPr>
                    </wps:wsp>
                  </a:graphicData>
                </a:graphic>
              </wp:anchor>
            </w:drawing>
          </mc:Choice>
          <mc:Fallback>
            <w:pict>
              <v:rect stroked="f" strokeweight="0pt" style="position:absolute;rotation:0;width:467.6pt;height:123.35pt;mso-wrap-distance-left:9pt;mso-wrap-distance-right:9pt;mso-wrap-distance-top:0pt;mso-wrap-distance-bottom:0pt;margin-top:0.05pt;mso-position-vertical-relative:text;margin-left:-0.25pt;mso-position-horizontal-relative:text">
                <v:textbox>
                  <w:txbxContent>
                    <w:tbl>
                      <w:tblPr>
                        <w:tblW w:w="5000" w:type="pct"/>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val="04a0"/>
                      </w:tblPr>
                      <w:tblGrid>
                        <w:gridCol w:w="7131"/>
                        <w:gridCol w:w="1932"/>
                      </w:tblGrid>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1.Проектирование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440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2.Проектирование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220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Проектирование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220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Монтаж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2500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Монтаж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1600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Монтаж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1600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и режимная наладка котельной</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150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для центрального теплового пункта (цТП)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140 рублей/кВт.</w:t>
                            </w:r>
                          </w:p>
                        </w:tc>
                      </w:tr>
                      <w:tr>
                        <w:trPr/>
                        <w:tc>
                          <w:tcPr>
                            <w:tcW w:w="71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lang w:val="ru-RU"/>
                              </w:rPr>
                            </w:pPr>
                            <w:r>
                              <w:rPr>
                                <w:rFonts w:cs="Arial"/>
                                <w:color w:val="131D20"/>
                                <w:sz w:val="20"/>
                                <w:szCs w:val="20"/>
                                <w:lang w:val="ru-RU"/>
                              </w:rPr>
                              <w:t>Наладочные работы для индивидуального теплового пункта (ИТП)</w:t>
                            </w:r>
                          </w:p>
                        </w:tc>
                        <w:tc>
                          <w:tcPr>
                            <w:tcW w:w="19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 w:type="dxa"/>
                            </w:tcMar>
                            <w:vAlign w:val="center"/>
                          </w:tcPr>
                          <w:p>
                            <w:pPr>
                              <w:pStyle w:val="Style45"/>
                              <w:ind w:hanging="0"/>
                              <w:jc w:val="left"/>
                              <w:rPr/>
                            </w:pPr>
                            <w:r>
                              <w:rPr>
                                <w:rFonts w:cs="Arial"/>
                                <w:color w:val="131D20"/>
                                <w:sz w:val="20"/>
                                <w:szCs w:val="20"/>
                              </w:rPr>
                              <w:t>140 рублей/кВт.</w:t>
                            </w:r>
                          </w:p>
                        </w:tc>
                      </w:tr>
                    </w:tbl>
                    <w:p>
                      <w:pPr>
                        <w:pStyle w:val="Style45"/>
                        <w:rPr/>
                      </w:pPr>
                      <w:r>
                        <w:rPr/>
                      </w:r>
                    </w:p>
                  </w:txbxContent>
                </v:textbox>
              </v:rect>
            </w:pict>
          </mc:Fallback>
        </mc:AlternateContent>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21</w:t>
      </w:r>
      <w:r>
        <w:fldChar w:fldCharType="end"/>
      </w:r>
      <w:r>
        <w:rPr>
          <w:rFonts w:cs="Arial"/>
          <w:iCs/>
          <w:szCs w:val="26"/>
          <w:lang w:val="ru-RU" w:eastAsia="zh-CN"/>
        </w:rPr>
        <w:t xml:space="preserve">– Расчетная стоимость </w:t>
      </w:r>
    </w:p>
    <w:p>
      <w:pPr>
        <w:pStyle w:val="Normal"/>
        <w:suppressLineNumbers/>
        <w:suppressAutoHyphens w:val="true"/>
        <w:jc w:val="right"/>
        <w:textAlignment w:val="baseline"/>
        <w:rPr>
          <w:rFonts w:cs="Arial"/>
          <w:iCs/>
          <w:szCs w:val="26"/>
          <w:lang w:val="ru-RU" w:eastAsia="zh-CN"/>
        </w:rPr>
      </w:pPr>
      <w:r>
        <w:rPr>
          <w:rFonts w:cs="Arial"/>
          <w:iCs/>
          <w:szCs w:val="26"/>
          <w:lang w:val="ru-RU" w:eastAsia="zh-CN"/>
        </w:rPr>
        <w:t>внедрения БМК на базе котельной №1</w:t>
      </w:r>
    </w:p>
    <w:tbl>
      <w:tblPr>
        <w:tblW w:w="5000" w:type="pct"/>
        <w:jc w:val="left"/>
        <w:tblInd w:w="-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68" w:type="dxa"/>
          <w:bottom w:w="0" w:type="dxa"/>
          <w:right w:w="108" w:type="dxa"/>
        </w:tblCellMar>
        <w:tblLook w:val="04a0"/>
      </w:tblPr>
      <w:tblGrid>
        <w:gridCol w:w="1647"/>
        <w:gridCol w:w="1290"/>
        <w:gridCol w:w="2181"/>
        <w:gridCol w:w="1397"/>
        <w:gridCol w:w="1452"/>
        <w:gridCol w:w="1386"/>
      </w:tblGrid>
      <w:tr>
        <w:trPr>
          <w:trHeight w:val="20" w:hRule="atLeast"/>
        </w:trPr>
        <w:tc>
          <w:tcPr>
            <w:tcW w:w="164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68" w:type="dxa"/>
            </w:tcMar>
            <w:vAlign w:val="center"/>
          </w:tcPr>
          <w:p>
            <w:pPr>
              <w:pStyle w:val="Normal"/>
              <w:ind w:hanging="0"/>
              <w:jc w:val="center"/>
              <w:rPr>
                <w:rFonts w:cs="Arial"/>
                <w:b/>
                <w:b/>
                <w:bCs/>
                <w:color w:val="000000"/>
                <w:sz w:val="20"/>
                <w:szCs w:val="20"/>
              </w:rPr>
            </w:pPr>
            <w:r>
              <w:rPr>
                <w:rFonts w:cs="Arial"/>
                <w:b/>
                <w:bCs/>
                <w:color w:val="000000"/>
                <w:sz w:val="20"/>
                <w:szCs w:val="20"/>
              </w:rPr>
              <w:t>Котельная</w:t>
            </w:r>
          </w:p>
        </w:tc>
        <w:tc>
          <w:tcPr>
            <w:tcW w:w="129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Проект, тыс.р.</w:t>
            </w:r>
          </w:p>
        </w:tc>
        <w:tc>
          <w:tcPr>
            <w:tcW w:w="2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Оборудование, тыс.р</w:t>
            </w:r>
          </w:p>
        </w:tc>
        <w:tc>
          <w:tcPr>
            <w:tcW w:w="13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Монтаж, тыс.р.</w:t>
            </w:r>
          </w:p>
        </w:tc>
        <w:tc>
          <w:tcPr>
            <w:tcW w:w="14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Наладка, тыс.р.</w:t>
            </w:r>
          </w:p>
        </w:tc>
        <w:tc>
          <w:tcPr>
            <w:tcW w:w="13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Итого, тыс.р.</w:t>
            </w:r>
          </w:p>
        </w:tc>
      </w:tr>
      <w:tr>
        <w:trPr>
          <w:trHeight w:val="20" w:hRule="atLeast"/>
        </w:trPr>
        <w:tc>
          <w:tcPr>
            <w:tcW w:w="164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БМК№1</w:t>
            </w:r>
          </w:p>
        </w:tc>
        <w:tc>
          <w:tcPr>
            <w:tcW w:w="129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6140,640</w:t>
            </w:r>
          </w:p>
        </w:tc>
        <w:tc>
          <w:tcPr>
            <w:tcW w:w="2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35000,0</w:t>
            </w:r>
          </w:p>
        </w:tc>
        <w:tc>
          <w:tcPr>
            <w:tcW w:w="13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34890,0</w:t>
            </w:r>
          </w:p>
        </w:tc>
        <w:tc>
          <w:tcPr>
            <w:tcW w:w="145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2093,4</w:t>
            </w:r>
          </w:p>
        </w:tc>
        <w:tc>
          <w:tcPr>
            <w:tcW w:w="138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78124.04</w:t>
            </w:r>
          </w:p>
        </w:tc>
      </w:tr>
    </w:tbl>
    <w:p>
      <w:pPr>
        <w:pStyle w:val="Normal"/>
        <w:suppressLineNumbers/>
        <w:suppressAutoHyphens w:val="true"/>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22</w:t>
      </w:r>
      <w:r>
        <w:fldChar w:fldCharType="end"/>
      </w:r>
      <w:r>
        <w:rPr>
          <w:rFonts w:cs="Arial"/>
          <w:iCs/>
          <w:szCs w:val="26"/>
          <w:lang w:val="ru-RU" w:eastAsia="zh-CN"/>
        </w:rPr>
        <w:t xml:space="preserve"> – Стоимость замены котлоагрегатов котельных №6 и №7 </w:t>
      </w:r>
    </w:p>
    <w:tbl>
      <w:tblPr>
        <w:tblW w:w="5000" w:type="pct"/>
        <w:jc w:val="left"/>
        <w:tblInd w:w="-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68" w:type="dxa"/>
          <w:bottom w:w="0" w:type="dxa"/>
          <w:right w:w="108" w:type="dxa"/>
        </w:tblCellMar>
        <w:tblLook w:val="04a0"/>
      </w:tblPr>
      <w:tblGrid>
        <w:gridCol w:w="1766"/>
        <w:gridCol w:w="1170"/>
        <w:gridCol w:w="2181"/>
        <w:gridCol w:w="1398"/>
        <w:gridCol w:w="1451"/>
        <w:gridCol w:w="1387"/>
      </w:tblGrid>
      <w:tr>
        <w:trPr>
          <w:trHeight w:val="20" w:hRule="atLeast"/>
        </w:trPr>
        <w:tc>
          <w:tcPr>
            <w:tcW w:w="1766"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tcMar>
              <w:left w:w="68" w:type="dxa"/>
            </w:tcMar>
            <w:vAlign w:val="center"/>
          </w:tcPr>
          <w:p>
            <w:pPr>
              <w:pStyle w:val="Normal"/>
              <w:ind w:hanging="0"/>
              <w:jc w:val="center"/>
              <w:rPr>
                <w:rFonts w:cs="Arial"/>
                <w:b/>
                <w:b/>
                <w:bCs/>
                <w:color w:val="000000"/>
                <w:sz w:val="20"/>
                <w:szCs w:val="20"/>
              </w:rPr>
            </w:pPr>
            <w:r>
              <w:rPr>
                <w:rFonts w:cs="Arial"/>
                <w:b/>
                <w:bCs/>
                <w:color w:val="000000"/>
                <w:sz w:val="20"/>
                <w:szCs w:val="20"/>
              </w:rPr>
              <w:t>Котельная</w:t>
            </w:r>
          </w:p>
        </w:tc>
        <w:tc>
          <w:tcPr>
            <w:tcW w:w="11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Проект, тыс.р.</w:t>
            </w:r>
          </w:p>
        </w:tc>
        <w:tc>
          <w:tcPr>
            <w:tcW w:w="218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Оборудование, тыс.р</w:t>
            </w:r>
          </w:p>
        </w:tc>
        <w:tc>
          <w:tcPr>
            <w:tcW w:w="139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Монтаж, тыс.р.</w:t>
            </w:r>
          </w:p>
        </w:tc>
        <w:tc>
          <w:tcPr>
            <w:tcW w:w="145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Наладка, тыс.р.</w:t>
            </w:r>
          </w:p>
        </w:tc>
        <w:tc>
          <w:tcPr>
            <w:tcW w:w="138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auto" w:val="clear"/>
            <w:vAlign w:val="center"/>
          </w:tcPr>
          <w:p>
            <w:pPr>
              <w:pStyle w:val="Normal"/>
              <w:ind w:hanging="0"/>
              <w:jc w:val="center"/>
              <w:rPr>
                <w:rFonts w:cs="Arial"/>
                <w:b/>
                <w:b/>
                <w:bCs/>
                <w:color w:val="000000"/>
                <w:sz w:val="20"/>
                <w:szCs w:val="20"/>
              </w:rPr>
            </w:pPr>
            <w:r>
              <w:rPr>
                <w:rFonts w:cs="Arial"/>
                <w:b/>
                <w:bCs/>
                <w:color w:val="000000"/>
                <w:sz w:val="20"/>
                <w:szCs w:val="20"/>
              </w:rPr>
              <w:t>Итого, тыс.р.</w:t>
            </w:r>
          </w:p>
        </w:tc>
      </w:tr>
      <w:tr>
        <w:trPr>
          <w:trHeight w:val="20" w:hRule="atLeast"/>
        </w:trPr>
        <w:tc>
          <w:tcPr>
            <w:tcW w:w="1766"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tcMar>
              <w:left w:w="68" w:type="dxa"/>
            </w:tcMar>
            <w:vAlign w:val="center"/>
          </w:tcPr>
          <w:p>
            <w:pPr>
              <w:pStyle w:val="Normal"/>
              <w:ind w:hanging="0"/>
              <w:jc w:val="center"/>
              <w:rPr>
                <w:rFonts w:cs="Arial"/>
                <w:color w:val="000000"/>
                <w:sz w:val="20"/>
                <w:szCs w:val="20"/>
              </w:rPr>
            </w:pPr>
            <w:r>
              <w:rPr>
                <w:rFonts w:cs="Arial"/>
                <w:color w:val="000000"/>
                <w:sz w:val="20"/>
                <w:szCs w:val="20"/>
              </w:rPr>
              <w:t>Котельная №6</w:t>
            </w:r>
          </w:p>
        </w:tc>
        <w:tc>
          <w:tcPr>
            <w:tcW w:w="1170"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747.111</w:t>
            </w:r>
          </w:p>
        </w:tc>
        <w:tc>
          <w:tcPr>
            <w:tcW w:w="2181"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4500</w:t>
            </w:r>
          </w:p>
        </w:tc>
        <w:tc>
          <w:tcPr>
            <w:tcW w:w="1398"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4244.95</w:t>
            </w:r>
          </w:p>
        </w:tc>
        <w:tc>
          <w:tcPr>
            <w:tcW w:w="1451"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vAlign w:val="center"/>
          </w:tcPr>
          <w:p>
            <w:pPr>
              <w:pStyle w:val="Normal"/>
              <w:ind w:hanging="0"/>
              <w:jc w:val="center"/>
              <w:rPr>
                <w:rFonts w:cs="Arial"/>
                <w:color w:val="000000"/>
                <w:sz w:val="20"/>
                <w:szCs w:val="20"/>
              </w:rPr>
            </w:pPr>
            <w:r>
              <w:rPr>
                <w:rFonts w:cs="Arial"/>
                <w:color w:val="000000"/>
                <w:sz w:val="20"/>
                <w:szCs w:val="20"/>
              </w:rPr>
              <w:t>254.697</w:t>
            </w:r>
          </w:p>
        </w:tc>
        <w:tc>
          <w:tcPr>
            <w:tcW w:w="1387" w:type="dxa"/>
            <w:tcBorders>
              <w:top w:val="single" w:sz="4" w:space="0" w:color="00000A"/>
              <w:left w:val="single" w:sz="8" w:space="0" w:color="000001"/>
              <w:bottom w:val="single" w:sz="4" w:space="0" w:color="00000A"/>
              <w:right w:val="single" w:sz="8" w:space="0" w:color="000001"/>
              <w:insideH w:val="single" w:sz="4" w:space="0" w:color="00000A"/>
              <w:insideV w:val="single" w:sz="8" w:space="0" w:color="000001"/>
            </w:tcBorders>
            <w:shd w:color="auto" w:fill="auto" w:val="clear"/>
            <w:vAlign w:val="bottom"/>
          </w:tcPr>
          <w:p>
            <w:pPr>
              <w:pStyle w:val="Normal"/>
              <w:ind w:hanging="0"/>
              <w:jc w:val="center"/>
              <w:rPr>
                <w:rFonts w:cs="Arial"/>
                <w:color w:val="000000"/>
                <w:sz w:val="20"/>
                <w:szCs w:val="20"/>
              </w:rPr>
            </w:pPr>
            <w:r>
              <w:rPr>
                <w:rFonts w:cs="Arial"/>
                <w:color w:val="000000"/>
                <w:sz w:val="20"/>
                <w:szCs w:val="20"/>
              </w:rPr>
              <w:t>9746.758</w:t>
            </w:r>
          </w:p>
        </w:tc>
      </w:tr>
      <w:tr>
        <w:trPr>
          <w:trHeight w:val="20" w:hRule="atLeast"/>
        </w:trPr>
        <w:tc>
          <w:tcPr>
            <w:tcW w:w="17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Котельная №7</w:t>
            </w:r>
          </w:p>
        </w:tc>
        <w:tc>
          <w:tcPr>
            <w:tcW w:w="11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373.556</w:t>
            </w:r>
          </w:p>
        </w:tc>
        <w:tc>
          <w:tcPr>
            <w:tcW w:w="21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2200</w:t>
            </w:r>
          </w:p>
        </w:tc>
        <w:tc>
          <w:tcPr>
            <w:tcW w:w="13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2122.48</w:t>
            </w:r>
          </w:p>
        </w:tc>
        <w:tc>
          <w:tcPr>
            <w:tcW w:w="14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127.348</w:t>
            </w:r>
          </w:p>
        </w:tc>
        <w:tc>
          <w:tcPr>
            <w:tcW w:w="13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center"/>
              <w:rPr>
                <w:rFonts w:cs="Arial"/>
                <w:color w:val="000000"/>
                <w:sz w:val="20"/>
                <w:szCs w:val="20"/>
              </w:rPr>
            </w:pPr>
            <w:r>
              <w:rPr>
                <w:rFonts w:cs="Arial"/>
                <w:color w:val="000000"/>
                <w:sz w:val="20"/>
                <w:szCs w:val="20"/>
              </w:rPr>
              <w:t>4823.38</w:t>
            </w:r>
          </w:p>
        </w:tc>
      </w:tr>
    </w:tbl>
    <w:p>
      <w:pPr>
        <w:pStyle w:val="Normal"/>
        <w:numPr>
          <w:ilvl w:val="0"/>
          <w:numId w:val="0"/>
        </w:numPr>
        <w:ind w:hanging="0"/>
        <w:outlineLvl w:val="1"/>
        <w:rPr>
          <w:rFonts w:cs="Arial"/>
          <w:b/>
          <w:b/>
          <w:szCs w:val="26"/>
          <w:lang w:val="ru-RU" w:eastAsia="ru-RU"/>
        </w:rPr>
      </w:pPr>
      <w:r>
        <w:rPr>
          <w:rFonts w:cs="Arial"/>
          <w:b/>
          <w:szCs w:val="26"/>
          <w:lang w:val="ru-RU" w:eastAsia="ru-RU"/>
        </w:rPr>
      </w:r>
    </w:p>
    <w:p>
      <w:pPr>
        <w:pStyle w:val="Normal"/>
        <w:numPr>
          <w:ilvl w:val="1"/>
          <w:numId w:val="1"/>
        </w:numPr>
        <w:ind w:left="0" w:hanging="0"/>
        <w:jc w:val="center"/>
        <w:outlineLvl w:val="1"/>
        <w:rPr>
          <w:rFonts w:cs="Arial"/>
          <w:b/>
          <w:b/>
          <w:szCs w:val="26"/>
          <w:lang w:val="ru-RU" w:eastAsia="ru-RU"/>
        </w:rPr>
      </w:pPr>
      <w:r>
        <w:rPr>
          <w:rFonts w:cs="Arial"/>
          <w:b/>
          <w:szCs w:val="26"/>
          <w:lang w:val="ru-RU" w:eastAsia="ru-RU"/>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pPr>
        <w:pStyle w:val="Normal"/>
        <w:rPr>
          <w:rFonts w:cs="Arial"/>
          <w:szCs w:val="26"/>
          <w:lang w:val="ru-RU"/>
        </w:rPr>
      </w:pPr>
      <w:r>
        <w:rPr>
          <w:rFonts w:cs="Arial"/>
          <w:szCs w:val="26"/>
          <w:lang w:val="ru-RU"/>
        </w:rPr>
        <w:t>Предложение по строительству и реконструкции тепловых сетей предполагает планомерную замену ветхих и аварийных тепловых сетей на новые в ППУ изоляции, а так же строительстве новых сетей для подключения новых абонентов к центральной котельной №1.</w:t>
      </w:r>
    </w:p>
    <w:p>
      <w:pPr>
        <w:pStyle w:val="Normal"/>
        <w:rPr/>
      </w:pPr>
      <w:r>
        <w:rPr>
          <w:rFonts w:cs="Arial"/>
          <w:szCs w:val="26"/>
          <w:lang w:val="ru-RU"/>
        </w:rPr>
        <w:t xml:space="preserve">Данные по диаметрам и протяженностям реконструируемых трубопроводов и ориентировочная стоимость материалов и работ приведены в </w:t>
      </w:r>
      <w:r>
        <w:rPr>
          <w:rFonts w:cs="Arial"/>
          <w:szCs w:val="26"/>
          <w:lang w:val="ru-RU"/>
        </w:rPr>
        <w:fldChar w:fldCharType="begin"/>
      </w:r>
      <w:r>
        <w:instrText> REF _Ref392669636 \h </w:instrText>
      </w:r>
      <w:r>
        <w:fldChar w:fldCharType="separate"/>
      </w:r>
      <w:r>
        <w:t>Таблица 18</w:t>
      </w:r>
      <w:r>
        <w:fldChar w:fldCharType="end"/>
      </w:r>
      <w:r>
        <w:rPr>
          <w:rFonts w:cs="Arial"/>
          <w:szCs w:val="26"/>
          <w:lang w:val="ru-RU"/>
        </w:rPr>
        <w:t>.</w:t>
      </w:r>
    </w:p>
    <w:p>
      <w:pPr>
        <w:pStyle w:val="Normal"/>
        <w:rPr>
          <w:rFonts w:cs="Arial"/>
          <w:szCs w:val="26"/>
          <w:lang w:val="ru-RU"/>
        </w:rPr>
      </w:pPr>
      <w:r>
        <w:rPr>
          <w:rFonts w:cs="Arial"/>
          <w:szCs w:val="26"/>
          <w:lang w:val="ru-RU"/>
        </w:rPr>
      </w:r>
    </w:p>
    <w:p>
      <w:pPr>
        <w:pStyle w:val="Normal"/>
        <w:numPr>
          <w:ilvl w:val="1"/>
          <w:numId w:val="1"/>
        </w:numPr>
        <w:ind w:left="0" w:hanging="0"/>
        <w:jc w:val="center"/>
        <w:outlineLvl w:val="1"/>
        <w:rPr>
          <w:rFonts w:cs="Arial"/>
          <w:b/>
          <w:b/>
          <w:szCs w:val="26"/>
          <w:lang w:val="ru-RU" w:eastAsia="ru-RU"/>
        </w:rPr>
      </w:pPr>
      <w:bookmarkStart w:id="74" w:name="_Toc398022689"/>
      <w:bookmarkEnd w:id="74"/>
      <w:r>
        <w:rPr>
          <w:rFonts w:cs="Arial"/>
          <w:b/>
          <w:szCs w:val="26"/>
          <w:lang w:val="ru-RU" w:eastAsia="ru-RU"/>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pPr>
        <w:pStyle w:val="Normal"/>
        <w:rPr>
          <w:rFonts w:cs="Arial"/>
          <w:szCs w:val="26"/>
          <w:lang w:val="ru-RU"/>
        </w:rPr>
      </w:pPr>
      <w:r>
        <w:rPr>
          <w:rFonts w:cs="Arial"/>
          <w:szCs w:val="26"/>
          <w:lang w:val="ru-RU"/>
        </w:rPr>
        <w:t>Изменений температурных графиков и гидравлических режимов источников теплоснабжения не предполагается.</w:t>
      </w:r>
    </w:p>
    <w:p>
      <w:pPr>
        <w:pStyle w:val="Normal"/>
        <w:rPr>
          <w:rFonts w:cs="Arial"/>
          <w:szCs w:val="26"/>
          <w:lang w:val="ru-RU"/>
        </w:rPr>
      </w:pPr>
      <w:r>
        <w:rPr>
          <w:rFonts w:cs="Arial"/>
          <w:szCs w:val="26"/>
          <w:lang w:val="ru-RU"/>
        </w:rPr>
        <w:t>Оценка стоимости нового строительства источников и теплосетевых объектов Туртасского сельского поселения выполнена на основании проектов-аналогов, данных фирм-поставщиков и фирм-изготовителей оборудования и предварительных укрупненных сметных расчетов.</w:t>
      </w:r>
    </w:p>
    <w:p>
      <w:pPr>
        <w:pStyle w:val="Normal"/>
        <w:rPr/>
      </w:pPr>
      <w:r>
        <w:rPr>
          <w:rFonts w:cs="Arial"/>
          <w:szCs w:val="26"/>
          <w:lang w:val="ru-RU"/>
        </w:rPr>
        <w:t xml:space="preserve">Расчет выполнен в текущих ценах 2015 г. Результаты приведены в </w:t>
      </w:r>
      <w:r>
        <w:rPr>
          <w:rFonts w:cs="Arial"/>
          <w:szCs w:val="26"/>
          <w:lang w:val="ru-RU"/>
        </w:rPr>
        <w:fldChar w:fldCharType="begin"/>
      </w:r>
      <w:r>
        <w:instrText> REF _Ref392672175 \h </w:instrText>
      </w:r>
      <w:r>
        <w:fldChar w:fldCharType="separate"/>
      </w:r>
      <w:r>
        <w:t>Таблица 23</w:t>
      </w:r>
      <w:r>
        <w:fldChar w:fldCharType="end"/>
      </w:r>
      <w:r>
        <w:rPr>
          <w:rFonts w:cs="Arial"/>
          <w:szCs w:val="26"/>
          <w:lang w:val="ru-RU"/>
        </w:rPr>
        <w:t>.</w:t>
      </w:r>
    </w:p>
    <w:p>
      <w:pPr>
        <w:pStyle w:val="Normal"/>
        <w:rPr>
          <w:rFonts w:cs="Arial"/>
          <w:szCs w:val="26"/>
          <w:lang w:val="ru-RU"/>
        </w:rPr>
      </w:pPr>
      <w:r>
        <w:rPr>
          <w:rFonts w:cs="Arial"/>
          <w:szCs w:val="26"/>
          <w:lang w:val="ru-RU"/>
        </w:rPr>
        <w:t>Необходимый объём финансирования в ценах 2015г. по вариантам развития на весь период составляет:</w:t>
      </w:r>
    </w:p>
    <w:p>
      <w:pPr>
        <w:pStyle w:val="Normal"/>
        <w:rPr>
          <w:rFonts w:cs="Arial"/>
          <w:szCs w:val="26"/>
          <w:lang w:val="ru-RU"/>
        </w:rPr>
      </w:pPr>
      <w:r>
        <w:rPr>
          <w:rFonts w:cs="Arial"/>
          <w:szCs w:val="26"/>
          <w:lang w:val="ru-RU"/>
        </w:rPr>
        <w:t>2015-2020 гг. – 45.465 млн.р.;</w:t>
      </w:r>
    </w:p>
    <w:p>
      <w:pPr>
        <w:pStyle w:val="Normal"/>
        <w:rPr>
          <w:rFonts w:cs="Arial"/>
          <w:szCs w:val="26"/>
          <w:u w:val="single"/>
          <w:lang w:val="ru-RU"/>
        </w:rPr>
      </w:pPr>
      <w:r>
        <w:rPr>
          <w:rFonts w:cs="Arial"/>
          <w:szCs w:val="26"/>
          <w:u w:val="single"/>
          <w:lang w:val="ru-RU"/>
        </w:rPr>
        <w:t>2021-2030 гг. –124.466 млн.р.</w:t>
      </w:r>
    </w:p>
    <w:p>
      <w:pPr>
        <w:pStyle w:val="Normal"/>
        <w:rPr>
          <w:rFonts w:cs="Arial"/>
          <w:szCs w:val="26"/>
          <w:lang w:val="ru-RU"/>
        </w:rPr>
      </w:pPr>
      <w:r>
        <w:rPr>
          <w:rFonts w:cs="Arial"/>
          <w:szCs w:val="26"/>
          <w:lang w:val="ru-RU"/>
        </w:rPr>
        <w:t>169.931 млн.р.</w:t>
      </w:r>
    </w:p>
    <w:p>
      <w:pPr>
        <w:pStyle w:val="Normal"/>
        <w:rPr>
          <w:rFonts w:cs="Arial"/>
          <w:szCs w:val="26"/>
          <w:lang w:val="ru-RU"/>
        </w:rPr>
      </w:pPr>
      <w:r>
        <w:rPr>
          <w:rFonts w:cs="Arial"/>
          <w:szCs w:val="26"/>
          <w:lang w:val="ru-RU"/>
        </w:rPr>
        <w:t>Источники финансирования мероприятий по повышению качества и надёжности теплоснабжения и подключения строящихся объектов:</w:t>
      </w:r>
    </w:p>
    <w:p>
      <w:pPr>
        <w:pStyle w:val="Normal"/>
        <w:spacing w:before="0" w:after="0"/>
        <w:contextualSpacing/>
        <w:rPr>
          <w:rFonts w:cs="Arial"/>
          <w:szCs w:val="26"/>
          <w:lang w:val="ru-RU"/>
        </w:rPr>
      </w:pPr>
      <w:r>
        <w:rPr>
          <w:rFonts w:cs="Arial"/>
          <w:szCs w:val="26"/>
          <w:lang w:val="ru-RU"/>
        </w:rPr>
        <w:t>инвестиционная надбавка к тарифу;</w:t>
      </w:r>
    </w:p>
    <w:p>
      <w:pPr>
        <w:pStyle w:val="Normal"/>
        <w:spacing w:before="0" w:after="0"/>
        <w:contextualSpacing/>
        <w:rPr>
          <w:rFonts w:cs="Arial"/>
          <w:szCs w:val="26"/>
          <w:lang w:val="ru-RU"/>
        </w:rPr>
      </w:pPr>
      <w:r>
        <w:rPr>
          <w:rFonts w:cs="Arial"/>
          <w:szCs w:val="26"/>
          <w:lang w:val="ru-RU"/>
        </w:rPr>
        <w:t>региональный и муниципальный бюджет;</w:t>
      </w:r>
    </w:p>
    <w:p>
      <w:pPr>
        <w:pStyle w:val="Normal"/>
        <w:spacing w:before="0" w:after="0"/>
        <w:contextualSpacing/>
        <w:rPr>
          <w:rFonts w:cs="Arial"/>
          <w:szCs w:val="26"/>
          <w:lang w:val="ru-RU"/>
        </w:rPr>
      </w:pPr>
      <w:r>
        <w:rPr>
          <w:rFonts w:cs="Arial"/>
          <w:szCs w:val="26"/>
          <w:lang w:val="ru-RU"/>
        </w:rPr>
        <w:t>кредиты;</w:t>
      </w:r>
    </w:p>
    <w:p>
      <w:pPr>
        <w:sectPr>
          <w:footerReference w:type="default" r:id="rId30"/>
          <w:type w:val="nextPage"/>
          <w:pgSz w:w="11906" w:h="16838"/>
          <w:pgMar w:left="1701" w:right="851" w:header="0" w:top="567" w:footer="709" w:bottom="766" w:gutter="0"/>
          <w:pgNumType w:start="67" w:fmt="decimal"/>
          <w:formProt w:val="false"/>
          <w:textDirection w:val="lrTb"/>
          <w:docGrid w:type="default" w:linePitch="360" w:charSpace="4294957055"/>
        </w:sectPr>
        <w:pStyle w:val="Normal"/>
        <w:spacing w:before="0" w:after="0"/>
        <w:contextualSpacing/>
        <w:rPr>
          <w:rFonts w:cs="Arial"/>
          <w:szCs w:val="26"/>
          <w:lang w:val="ru-RU"/>
        </w:rPr>
      </w:pPr>
      <w:r>
        <w:rPr>
          <w:rFonts w:cs="Arial"/>
          <w:szCs w:val="26"/>
          <w:lang w:val="ru-RU"/>
        </w:rPr>
        <w:t>собственные средства.</w:t>
      </w:r>
    </w:p>
    <w:p>
      <w:pPr>
        <w:pStyle w:val="Normal"/>
        <w:suppressLineNumbers/>
        <w:suppressAutoHyphens w:val="true"/>
        <w:jc w:val="right"/>
        <w:textAlignment w:val="baseline"/>
        <w:rPr/>
      </w:pPr>
      <w:bookmarkStart w:id="75" w:name="_Ref392672175"/>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23</w:t>
      </w:r>
      <w:r>
        <w:fldChar w:fldCharType="end"/>
      </w:r>
      <w:bookmarkEnd w:id="75"/>
      <w:r>
        <w:rPr>
          <w:rFonts w:cs="Arial"/>
          <w:iCs/>
          <w:szCs w:val="26"/>
          <w:lang w:val="ru-RU" w:eastAsia="zh-CN"/>
        </w:rPr>
        <w:t xml:space="preserve"> – Оценка капиталовложений на развитие системы</w:t>
      </w:r>
    </w:p>
    <w:p>
      <w:pPr>
        <w:pStyle w:val="Normal"/>
        <w:suppressLineNumbers/>
        <w:suppressAutoHyphens w:val="true"/>
        <w:jc w:val="right"/>
        <w:textAlignment w:val="baseline"/>
        <w:rPr>
          <w:rFonts w:cs="Arial"/>
          <w:iCs/>
          <w:szCs w:val="26"/>
          <w:lang w:val="ru-RU" w:eastAsia="zh-CN"/>
        </w:rPr>
      </w:pPr>
      <w:r>
        <w:rPr>
          <w:rFonts w:cs="Arial"/>
          <w:iCs/>
          <w:szCs w:val="26"/>
          <w:lang w:val="ru-RU" w:eastAsia="zh-CN"/>
        </w:rPr>
        <w:t xml:space="preserve"> </w:t>
      </w:r>
      <w:r>
        <w:rPr>
          <w:rFonts w:cs="Arial"/>
          <w:iCs/>
          <w:szCs w:val="26"/>
          <w:lang w:val="ru-RU" w:eastAsia="zh-CN"/>
        </w:rPr>
        <w:t>теплоснабжения Туртасского сельского поселения</w:t>
      </w:r>
    </w:p>
    <w:tbl>
      <w:tblPr>
        <w:tblW w:w="5000" w:type="pct"/>
        <w:jc w:val="left"/>
        <w:tblInd w:w="-15" w:type="dxa"/>
        <w:tblBorders>
          <w:top w:val="single" w:sz="4" w:space="0" w:color="00000A"/>
          <w:left w:val="single" w:sz="4" w:space="0" w:color="00000A"/>
          <w:right w:val="single" w:sz="4" w:space="0" w:color="00000A"/>
          <w:insideV w:val="single" w:sz="4" w:space="0" w:color="00000A"/>
        </w:tblBorders>
        <w:tblCellMar>
          <w:top w:w="0" w:type="dxa"/>
          <w:left w:w="88" w:type="dxa"/>
          <w:bottom w:w="0" w:type="dxa"/>
          <w:right w:w="108" w:type="dxa"/>
        </w:tblCellMar>
        <w:tblLook w:val="04a0"/>
      </w:tblPr>
      <w:tblGrid>
        <w:gridCol w:w="1561"/>
        <w:gridCol w:w="1873"/>
        <w:gridCol w:w="1"/>
        <w:gridCol w:w="1807"/>
        <w:gridCol w:w="2"/>
        <w:gridCol w:w="1803"/>
        <w:gridCol w:w="4"/>
        <w:gridCol w:w="1"/>
        <w:gridCol w:w="1803"/>
        <w:gridCol w:w="6"/>
        <w:gridCol w:w="1"/>
        <w:gridCol w:w="1796"/>
        <w:gridCol w:w="13"/>
        <w:gridCol w:w="2"/>
        <w:gridCol w:w="1791"/>
        <w:gridCol w:w="17"/>
        <w:gridCol w:w="2"/>
        <w:gridCol w:w="1801"/>
      </w:tblGrid>
      <w:tr>
        <w:trPr>
          <w:trHeight w:val="170" w:hRule="atLeast"/>
        </w:trPr>
        <w:tc>
          <w:tcPr>
            <w:tcW w:w="3435" w:type="dxa"/>
            <w:gridSpan w:val="3"/>
            <w:vMerge w:val="restart"/>
            <w:tcBorders>
              <w:top w:val="single" w:sz="4" w:space="0" w:color="00000A"/>
              <w:left w:val="single" w:sz="4" w:space="0" w:color="00000A"/>
              <w:right w:val="single" w:sz="4" w:space="0" w:color="00000A"/>
              <w:insideV w:val="single" w:sz="4" w:space="0" w:color="00000A"/>
            </w:tcBorders>
            <w:shd w:color="auto" w:fill="auto" w:val="clear"/>
            <w:tcMar>
              <w:left w:w="88" w:type="dxa"/>
            </w:tcMar>
            <w:vAlign w:val="center"/>
          </w:tcPr>
          <w:p>
            <w:pPr>
              <w:pStyle w:val="Normal"/>
              <w:ind w:hanging="0"/>
              <w:jc w:val="center"/>
              <w:rPr>
                <w:rFonts w:cs="Arial"/>
                <w:b/>
                <w:b/>
                <w:bCs/>
                <w:sz w:val="20"/>
                <w:szCs w:val="20"/>
              </w:rPr>
            </w:pPr>
            <w:r>
              <w:rPr>
                <w:rFonts w:cs="Arial"/>
                <w:b/>
                <w:bCs/>
                <w:sz w:val="20"/>
                <w:szCs w:val="20"/>
              </w:rPr>
              <w:t>Объекты</w:t>
            </w:r>
          </w:p>
        </w:tc>
        <w:tc>
          <w:tcPr>
            <w:tcW w:w="9029" w:type="dxa"/>
            <w:gridSpan w:val="1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center"/>
              <w:rPr>
                <w:rFonts w:cs="Arial"/>
                <w:b/>
                <w:b/>
                <w:bCs/>
                <w:sz w:val="20"/>
                <w:szCs w:val="20"/>
              </w:rPr>
            </w:pPr>
            <w:r>
              <w:rPr>
                <w:rFonts w:cs="Arial"/>
                <w:b/>
                <w:bCs/>
                <w:sz w:val="20"/>
                <w:szCs w:val="20"/>
              </w:rPr>
              <w:t>Виды работ</w:t>
            </w:r>
          </w:p>
        </w:tc>
        <w:tc>
          <w:tcPr>
            <w:tcW w:w="1820" w:type="dxa"/>
            <w:gridSpan w:val="3"/>
            <w:vMerge w:val="restart"/>
            <w:tcBorders>
              <w:top w:val="single" w:sz="4" w:space="0" w:color="00000A"/>
              <w:left w:val="single" w:sz="4" w:space="0" w:color="00000A"/>
              <w:right w:val="single" w:sz="4" w:space="0" w:color="00000A"/>
              <w:insideV w:val="single" w:sz="4" w:space="0" w:color="00000A"/>
            </w:tcBorders>
            <w:shd w:color="auto" w:fill="auto" w:val="clear"/>
            <w:tcMar>
              <w:left w:w="88" w:type="dxa"/>
            </w:tcMar>
            <w:vAlign w:val="center"/>
          </w:tcPr>
          <w:p>
            <w:pPr>
              <w:pStyle w:val="Normal"/>
              <w:ind w:hanging="0"/>
              <w:jc w:val="center"/>
              <w:rPr>
                <w:rFonts w:cs="Arial"/>
                <w:b/>
                <w:b/>
                <w:bCs/>
                <w:sz w:val="20"/>
                <w:szCs w:val="20"/>
              </w:rPr>
            </w:pPr>
            <w:r>
              <w:rPr>
                <w:rFonts w:cs="Arial"/>
                <w:b/>
                <w:bCs/>
                <w:sz w:val="20"/>
                <w:szCs w:val="20"/>
              </w:rPr>
              <w:t>Итого, тыс.р.</w:t>
            </w:r>
          </w:p>
        </w:tc>
      </w:tr>
      <w:tr>
        <w:trPr>
          <w:trHeight w:val="170" w:hRule="atLeast"/>
        </w:trPr>
        <w:tc>
          <w:tcPr>
            <w:tcW w:w="3435" w:type="dxa"/>
            <w:gridSpan w:val="3"/>
            <w:vMerge w:val="continue"/>
            <w:tcBorders>
              <w:top w:val="single" w:sz="4" w:space="0" w:color="00000A"/>
              <w:left w:val="single" w:sz="4" w:space="0" w:color="00000A"/>
              <w:right w:val="single" w:sz="4" w:space="0" w:color="00000A"/>
              <w:insideV w:val="single" w:sz="4" w:space="0" w:color="00000A"/>
            </w:tcBorders>
            <w:shd w:color="auto" w:fill="auto" w:val="clear"/>
            <w:tcMar>
              <w:left w:w="88" w:type="dxa"/>
            </w:tcMar>
            <w:vAlign w:val="center"/>
          </w:tcPr>
          <w:p>
            <w:pPr>
              <w:pStyle w:val="Normal"/>
              <w:ind w:hanging="0"/>
              <w:jc w:val="left"/>
              <w:rPr>
                <w:rFonts w:cs="Arial"/>
                <w:b/>
                <w:b/>
                <w:bCs/>
                <w:sz w:val="20"/>
                <w:szCs w:val="20"/>
              </w:rPr>
            </w:pPr>
            <w:r>
              <w:rPr>
                <w:rFonts w:cs="Arial"/>
                <w:b/>
                <w:bCs/>
                <w:sz w:val="20"/>
                <w:szCs w:val="20"/>
              </w:rPr>
            </w:r>
          </w:p>
        </w:tc>
        <w:tc>
          <w:tcPr>
            <w:tcW w:w="1809" w:type="dxa"/>
            <w:gridSpan w:val="2"/>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ind w:hanging="0"/>
              <w:jc w:val="center"/>
              <w:rPr>
                <w:rFonts w:cs="Arial"/>
                <w:sz w:val="20"/>
                <w:szCs w:val="20"/>
                <w:lang w:val="ru-RU"/>
              </w:rPr>
            </w:pPr>
            <w:r>
              <w:rPr>
                <w:rFonts w:cs="Arial"/>
                <w:sz w:val="20"/>
                <w:szCs w:val="20"/>
                <w:lang w:val="ru-RU"/>
              </w:rPr>
              <w:t>Проектно-изыскательские работы, тыс.р.</w:t>
            </w:r>
          </w:p>
        </w:tc>
        <w:tc>
          <w:tcPr>
            <w:tcW w:w="1803" w:type="dxa"/>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ind w:hanging="0"/>
              <w:jc w:val="center"/>
              <w:rPr>
                <w:rFonts w:cs="Arial"/>
                <w:sz w:val="20"/>
                <w:szCs w:val="20"/>
                <w:lang w:val="ru-RU"/>
              </w:rPr>
            </w:pPr>
            <w:r>
              <w:rPr>
                <w:rFonts w:cs="Arial"/>
                <w:sz w:val="20"/>
                <w:szCs w:val="20"/>
                <w:lang w:val="ru-RU"/>
              </w:rPr>
              <w:t>Технические условия и согласования, тыс.р.</w:t>
            </w:r>
          </w:p>
        </w:tc>
        <w:tc>
          <w:tcPr>
            <w:tcW w:w="1808" w:type="dxa"/>
            <w:gridSpan w:val="3"/>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ind w:hanging="0"/>
              <w:jc w:val="center"/>
              <w:rPr>
                <w:rFonts w:cs="Arial"/>
                <w:sz w:val="20"/>
                <w:szCs w:val="20"/>
              </w:rPr>
            </w:pPr>
            <w:r>
              <w:rPr>
                <w:rFonts w:cs="Arial"/>
                <w:sz w:val="20"/>
                <w:szCs w:val="20"/>
              </w:rPr>
              <w:t>Закупка оборудования, тыс.р.</w:t>
            </w:r>
          </w:p>
        </w:tc>
        <w:tc>
          <w:tcPr>
            <w:tcW w:w="1803" w:type="dxa"/>
            <w:gridSpan w:val="3"/>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ind w:hanging="0"/>
              <w:jc w:val="center"/>
              <w:rPr>
                <w:rFonts w:cs="Arial"/>
                <w:sz w:val="20"/>
                <w:szCs w:val="20"/>
                <w:lang w:val="ru-RU"/>
              </w:rPr>
            </w:pPr>
            <w:r>
              <w:rPr>
                <w:rFonts w:cs="Arial"/>
                <w:sz w:val="20"/>
                <w:szCs w:val="20"/>
                <w:lang w:val="ru-RU"/>
              </w:rPr>
              <w:t>Строительно-монтажные работы, тыс.р.</w:t>
            </w:r>
          </w:p>
        </w:tc>
        <w:tc>
          <w:tcPr>
            <w:tcW w:w="1806" w:type="dxa"/>
            <w:gridSpan w:val="3"/>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ind w:hanging="0"/>
              <w:jc w:val="center"/>
              <w:rPr>
                <w:rFonts w:cs="Arial"/>
                <w:sz w:val="20"/>
                <w:szCs w:val="20"/>
                <w:lang w:val="ru-RU"/>
              </w:rPr>
            </w:pPr>
            <w:r>
              <w:rPr>
                <w:rFonts w:cs="Arial"/>
                <w:sz w:val="20"/>
                <w:szCs w:val="20"/>
                <w:lang w:val="ru-RU"/>
              </w:rPr>
              <w:t>Пуско-наладочные работы, тыс.р.</w:t>
            </w:r>
          </w:p>
        </w:tc>
        <w:tc>
          <w:tcPr>
            <w:tcW w:w="1820" w:type="dxa"/>
            <w:gridSpan w:val="3"/>
            <w:vMerge w:val="continue"/>
            <w:tcBorders>
              <w:top w:val="single" w:sz="4" w:space="0" w:color="00000A"/>
              <w:left w:val="single" w:sz="4" w:space="0" w:color="00000A"/>
              <w:right w:val="single" w:sz="4" w:space="0" w:color="00000A"/>
              <w:insideV w:val="single" w:sz="4" w:space="0" w:color="00000A"/>
            </w:tcBorders>
            <w:shd w:color="auto" w:fill="auto" w:val="clear"/>
            <w:tcMar>
              <w:left w:w="88" w:type="dxa"/>
            </w:tcMar>
            <w:vAlign w:val="center"/>
          </w:tcPr>
          <w:p>
            <w:pPr>
              <w:pStyle w:val="Normal"/>
              <w:ind w:hanging="0"/>
              <w:jc w:val="left"/>
              <w:rPr>
                <w:rFonts w:cs="Arial"/>
                <w:b/>
                <w:b/>
                <w:bCs/>
                <w:sz w:val="20"/>
                <w:szCs w:val="20"/>
                <w:lang w:val="ru-RU"/>
              </w:rPr>
            </w:pPr>
            <w:r>
              <w:rPr>
                <w:rFonts w:cs="Arial"/>
                <w:b/>
                <w:bCs/>
                <w:sz w:val="20"/>
                <w:szCs w:val="20"/>
                <w:lang w:val="ru-RU"/>
              </w:rPr>
            </w:r>
          </w:p>
        </w:tc>
      </w:tr>
      <w:tr>
        <w:trPr>
          <w:trHeight w:val="170" w:hRule="atLeast"/>
        </w:trPr>
        <w:tc>
          <w:tcPr>
            <w:tcW w:w="14284" w:type="dxa"/>
            <w:gridSpan w:val="18"/>
            <w:tcBorders>
              <w:top w:val="single" w:sz="4" w:space="0" w:color="00000A"/>
              <w:left w:val="single" w:sz="4" w:space="0" w:color="00000A"/>
              <w:right w:val="single" w:sz="4" w:space="0" w:color="000001"/>
              <w:insideV w:val="single" w:sz="4" w:space="0" w:color="000001"/>
            </w:tcBorders>
            <w:shd w:color="auto" w:fill="auto" w:val="clear"/>
            <w:tcMar>
              <w:left w:w="88" w:type="dxa"/>
            </w:tcMar>
            <w:vAlign w:val="center"/>
          </w:tcPr>
          <w:p>
            <w:pPr>
              <w:pStyle w:val="Normal"/>
              <w:ind w:hanging="0"/>
              <w:jc w:val="center"/>
              <w:rPr>
                <w:rFonts w:cs="Arial"/>
                <w:b/>
                <w:b/>
                <w:bCs/>
                <w:sz w:val="20"/>
                <w:szCs w:val="20"/>
              </w:rPr>
            </w:pPr>
            <w:r>
              <w:rPr>
                <w:rFonts w:cs="Arial"/>
                <w:b/>
                <w:bCs/>
                <w:sz w:val="20"/>
                <w:szCs w:val="20"/>
              </w:rPr>
              <w:t>Этап I</w:t>
            </w:r>
          </w:p>
        </w:tc>
      </w:tr>
      <w:tr>
        <w:trPr>
          <w:trHeight w:val="170" w:hRule="atLeast"/>
        </w:trPr>
        <w:tc>
          <w:tcPr>
            <w:tcW w:w="14284" w:type="dxa"/>
            <w:gridSpan w:val="18"/>
            <w:tcBorders>
              <w:top w:val="single" w:sz="4" w:space="0" w:color="00000A"/>
              <w:left w:val="single" w:sz="4" w:space="0" w:color="00000A"/>
              <w:bottom w:val="single" w:sz="4" w:space="0" w:color="00000A"/>
              <w:right w:val="single" w:sz="4" w:space="0" w:color="000001"/>
              <w:insideH w:val="single" w:sz="4" w:space="0" w:color="00000A"/>
              <w:insideV w:val="single" w:sz="4" w:space="0" w:color="000001"/>
            </w:tcBorders>
            <w:shd w:color="auto" w:fill="auto" w:val="clear"/>
            <w:tcMar>
              <w:left w:w="88" w:type="dxa"/>
            </w:tcMar>
            <w:vAlign w:val="center"/>
          </w:tcPr>
          <w:p>
            <w:pPr>
              <w:pStyle w:val="Normal"/>
              <w:ind w:hanging="0"/>
              <w:jc w:val="center"/>
              <w:rPr>
                <w:rFonts w:cs="Arial"/>
                <w:sz w:val="20"/>
                <w:szCs w:val="20"/>
              </w:rPr>
            </w:pPr>
            <w:r>
              <w:rPr>
                <w:rFonts w:cs="Arial"/>
                <w:sz w:val="20"/>
                <w:szCs w:val="20"/>
              </w:rPr>
              <w:t>2015-2020гг.</w:t>
            </w:r>
          </w:p>
        </w:tc>
      </w:tr>
      <w:tr>
        <w:trPr>
          <w:trHeight w:val="170" w:hRule="atLeast"/>
        </w:trPr>
        <w:tc>
          <w:tcPr>
            <w:tcW w:w="34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b/>
                <w:b/>
                <w:bCs/>
                <w:sz w:val="20"/>
                <w:szCs w:val="20"/>
              </w:rPr>
            </w:pPr>
            <w:r>
              <w:rPr>
                <w:rFonts w:cs="Arial"/>
                <w:b/>
                <w:bCs/>
                <w:sz w:val="20"/>
                <w:szCs w:val="20"/>
              </w:rPr>
              <w:t>Источник теплоснабжения</w:t>
            </w:r>
          </w:p>
        </w:tc>
        <w:tc>
          <w:tcPr>
            <w:tcW w:w="1809" w:type="dxa"/>
            <w:gridSpan w:val="2"/>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ind w:hanging="0"/>
              <w:jc w:val="right"/>
              <w:rPr>
                <w:rFonts w:cs="Arial"/>
                <w:b/>
                <w:b/>
                <w:bCs/>
                <w:sz w:val="20"/>
                <w:szCs w:val="20"/>
              </w:rPr>
            </w:pPr>
            <w:r>
              <w:rPr>
                <w:rFonts w:cs="Arial"/>
                <w:b/>
                <w:bCs/>
                <w:sz w:val="20"/>
                <w:szCs w:val="20"/>
              </w:rPr>
            </w:r>
          </w:p>
        </w:tc>
        <w:tc>
          <w:tcPr>
            <w:tcW w:w="18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bCs/>
                <w:sz w:val="20"/>
                <w:szCs w:val="20"/>
              </w:rPr>
            </w:pPr>
            <w:r>
              <w:rPr>
                <w:rFonts w:cs="Arial"/>
                <w:b/>
                <w:bCs/>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sz w:val="20"/>
                <w:szCs w:val="20"/>
              </w:rPr>
            </w:pPr>
            <w:r>
              <w:rPr>
                <w:rFonts w:cs="Arial"/>
                <w:b/>
                <w:sz w:val="20"/>
                <w:szCs w:val="20"/>
              </w:rPr>
            </w:r>
          </w:p>
        </w:tc>
      </w:tr>
      <w:tr>
        <w:trPr>
          <w:trHeight w:val="170" w:hRule="atLeast"/>
        </w:trPr>
        <w:tc>
          <w:tcPr>
            <w:tcW w:w="1561" w:type="dxa"/>
            <w:vMerge w:val="restart"/>
            <w:tcBorders>
              <w:left w:val="single" w:sz="4" w:space="0" w:color="00000A"/>
              <w:right w:val="single" w:sz="4" w:space="0" w:color="00000A"/>
              <w:insideV w:val="single" w:sz="4" w:space="0" w:color="00000A"/>
            </w:tcBorders>
            <w:shd w:color="auto" w:fill="auto" w:val="clear"/>
            <w:tcMar>
              <w:left w:w="88" w:type="dxa"/>
            </w:tcMar>
            <w:vAlign w:val="center"/>
          </w:tcPr>
          <w:p>
            <w:pPr>
              <w:pStyle w:val="Normal"/>
              <w:ind w:hanging="0"/>
              <w:jc w:val="left"/>
              <w:rPr>
                <w:rFonts w:cs="Arial"/>
                <w:sz w:val="20"/>
                <w:szCs w:val="20"/>
              </w:rPr>
            </w:pPr>
            <w:r>
              <w:rPr>
                <w:rFonts w:cs="Arial"/>
                <w:sz w:val="20"/>
                <w:szCs w:val="20"/>
              </w:rPr>
              <w:t xml:space="preserve">    </w:t>
            </w:r>
            <w:r>
              <w:rPr>
                <w:rFonts w:cs="Arial"/>
                <w:sz w:val="20"/>
                <w:szCs w:val="20"/>
              </w:rPr>
              <w:t>Котельные</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sz w:val="20"/>
                <w:szCs w:val="20"/>
              </w:rPr>
            </w:pPr>
            <w:r>
              <w:rPr>
                <w:rFonts w:cs="Arial"/>
                <w:sz w:val="20"/>
                <w:szCs w:val="20"/>
              </w:rPr>
              <w:t>Строительство</w:t>
            </w:r>
          </w:p>
        </w:tc>
        <w:tc>
          <w:tcPr>
            <w:tcW w:w="1808" w:type="dxa"/>
            <w:gridSpan w:val="2"/>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ind w:firstLine="21"/>
              <w:jc w:val="right"/>
              <w:rPr>
                <w:rFonts w:cs="Arial"/>
                <w:sz w:val="20"/>
                <w:szCs w:val="20"/>
              </w:rPr>
            </w:pPr>
            <w:r>
              <w:rPr>
                <w:rFonts w:cs="Arial"/>
                <w:sz w:val="20"/>
                <w:szCs w:val="20"/>
              </w:rPr>
              <w:t>1434,012</w:t>
            </w:r>
          </w:p>
        </w:tc>
        <w:tc>
          <w:tcPr>
            <w:tcW w:w="1809"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right"/>
              <w:rPr>
                <w:rFonts w:cs="Arial"/>
                <w:sz w:val="20"/>
                <w:szCs w:val="20"/>
              </w:rPr>
            </w:pPr>
            <w:r>
              <w:rPr>
                <w:rFonts w:cs="Arial"/>
                <w:sz w:val="20"/>
                <w:szCs w:val="20"/>
              </w:rPr>
              <w:t>10000</w:t>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right"/>
              <w:rPr>
                <w:rFonts w:cs="Arial"/>
                <w:sz w:val="20"/>
                <w:szCs w:val="20"/>
              </w:rPr>
            </w:pPr>
            <w:r>
              <w:rPr>
                <w:rFonts w:cs="Arial"/>
                <w:sz w:val="20"/>
                <w:szCs w:val="20"/>
              </w:rPr>
              <w:t>8000</w:t>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right"/>
              <w:rPr>
                <w:rFonts w:cs="Arial"/>
                <w:sz w:val="20"/>
                <w:szCs w:val="20"/>
              </w:rPr>
            </w:pPr>
            <w:r>
              <w:rPr>
                <w:rFonts w:cs="Arial"/>
                <w:sz w:val="20"/>
                <w:szCs w:val="20"/>
              </w:rPr>
              <w:t>1000</w:t>
            </w:r>
          </w:p>
        </w:tc>
        <w:tc>
          <w:tcPr>
            <w:tcW w:w="180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sz w:val="20"/>
                <w:szCs w:val="20"/>
              </w:rPr>
            </w:pPr>
            <w:r>
              <w:rPr>
                <w:rFonts w:cs="Arial"/>
                <w:b/>
                <w:sz w:val="20"/>
                <w:szCs w:val="20"/>
              </w:rPr>
              <w:t>20434,012</w:t>
            </w:r>
          </w:p>
        </w:tc>
      </w:tr>
      <w:tr>
        <w:trPr>
          <w:trHeight w:val="170" w:hRule="atLeast"/>
        </w:trPr>
        <w:tc>
          <w:tcPr>
            <w:tcW w:w="156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sz w:val="20"/>
                <w:szCs w:val="20"/>
              </w:rPr>
            </w:pPr>
            <w:r>
              <w:rPr>
                <w:rFonts w:cs="Arial"/>
                <w:sz w:val="20"/>
                <w:szCs w:val="20"/>
              </w:rPr>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sz w:val="20"/>
                <w:szCs w:val="20"/>
              </w:rPr>
            </w:pPr>
            <w:r>
              <w:rPr>
                <w:rFonts w:cs="Arial"/>
                <w:sz w:val="20"/>
                <w:szCs w:val="20"/>
              </w:rPr>
              <w:t>Модернизация</w:t>
            </w:r>
          </w:p>
        </w:tc>
        <w:tc>
          <w:tcPr>
            <w:tcW w:w="1808" w:type="dxa"/>
            <w:gridSpan w:val="2"/>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ind w:firstLine="21"/>
              <w:jc w:val="right"/>
              <w:rPr>
                <w:rFonts w:cs="Arial"/>
                <w:sz w:val="20"/>
                <w:szCs w:val="20"/>
              </w:rPr>
            </w:pPr>
            <w:r>
              <w:rPr>
                <w:rFonts w:cs="Arial"/>
                <w:sz w:val="20"/>
                <w:szCs w:val="20"/>
              </w:rPr>
              <w:t>1120.667</w:t>
            </w:r>
          </w:p>
        </w:tc>
        <w:tc>
          <w:tcPr>
            <w:tcW w:w="1809"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t>6700</w:t>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t>6367.43</w:t>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t>382.045</w:t>
            </w:r>
          </w:p>
        </w:tc>
        <w:tc>
          <w:tcPr>
            <w:tcW w:w="180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sz w:val="20"/>
                <w:szCs w:val="20"/>
              </w:rPr>
            </w:pPr>
            <w:r>
              <w:rPr>
                <w:rFonts w:cs="Arial"/>
                <w:b/>
                <w:sz w:val="20"/>
                <w:szCs w:val="20"/>
              </w:rPr>
              <w:t>14570.142</w:t>
            </w:r>
          </w:p>
        </w:tc>
      </w:tr>
      <w:tr>
        <w:trPr>
          <w:trHeight w:val="170" w:hRule="atLeast"/>
        </w:trPr>
        <w:tc>
          <w:tcPr>
            <w:tcW w:w="34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b/>
                <w:b/>
                <w:bCs/>
                <w:sz w:val="20"/>
                <w:szCs w:val="20"/>
              </w:rPr>
            </w:pPr>
            <w:r>
              <w:rPr>
                <w:rFonts w:cs="Arial"/>
                <w:b/>
                <w:bCs/>
                <w:sz w:val="20"/>
                <w:szCs w:val="20"/>
              </w:rPr>
              <w:t>Тепловые сети</w:t>
            </w:r>
          </w:p>
        </w:tc>
        <w:tc>
          <w:tcPr>
            <w:tcW w:w="1809" w:type="dxa"/>
            <w:gridSpan w:val="2"/>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ind w:hanging="0"/>
              <w:jc w:val="right"/>
              <w:rPr>
                <w:rFonts w:cs="Arial"/>
                <w:sz w:val="20"/>
                <w:szCs w:val="20"/>
              </w:rPr>
            </w:pPr>
            <w:r>
              <w:rPr>
                <w:rFonts w:cs="Arial"/>
                <w:sz w:val="20"/>
                <w:szCs w:val="20"/>
              </w:rPr>
            </w:r>
          </w:p>
        </w:tc>
        <w:tc>
          <w:tcPr>
            <w:tcW w:w="18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sz w:val="20"/>
                <w:szCs w:val="20"/>
              </w:rPr>
            </w:pPr>
            <w:r>
              <w:rPr>
                <w:rFonts w:cs="Arial"/>
                <w:b/>
                <w:sz w:val="20"/>
                <w:szCs w:val="20"/>
              </w:rPr>
            </w:r>
          </w:p>
        </w:tc>
      </w:tr>
      <w:tr>
        <w:trPr>
          <w:trHeight w:val="170" w:hRule="atLeast"/>
        </w:trPr>
        <w:tc>
          <w:tcPr>
            <w:tcW w:w="34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sz w:val="20"/>
                <w:szCs w:val="20"/>
              </w:rPr>
            </w:pPr>
            <w:r>
              <w:rPr>
                <w:rFonts w:cs="Arial"/>
                <w:sz w:val="20"/>
                <w:szCs w:val="20"/>
              </w:rPr>
              <w:t xml:space="preserve">   </w:t>
            </w:r>
            <w:r>
              <w:rPr>
                <w:rFonts w:cs="Arial"/>
                <w:sz w:val="20"/>
                <w:szCs w:val="20"/>
              </w:rPr>
              <w:t>Монтаж</w:t>
            </w:r>
          </w:p>
        </w:tc>
        <w:tc>
          <w:tcPr>
            <w:tcW w:w="1809" w:type="dxa"/>
            <w:gridSpan w:val="2"/>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ind w:hanging="0"/>
              <w:jc w:val="right"/>
              <w:rPr>
                <w:rFonts w:cs="Arial"/>
                <w:sz w:val="20"/>
                <w:szCs w:val="20"/>
              </w:rPr>
            </w:pPr>
            <w:r>
              <w:rPr>
                <w:rFonts w:cs="Arial"/>
                <w:sz w:val="20"/>
                <w:szCs w:val="20"/>
              </w:rPr>
            </w:r>
          </w:p>
        </w:tc>
        <w:tc>
          <w:tcPr>
            <w:tcW w:w="18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t>15447.452</w:t>
            </w:r>
          </w:p>
        </w:tc>
        <w:tc>
          <w:tcPr>
            <w:tcW w:w="181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t>15447.452</w:t>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sz w:val="20"/>
                <w:szCs w:val="20"/>
              </w:rPr>
            </w:pPr>
            <w:r>
              <w:rPr>
                <w:rFonts w:cs="Arial"/>
                <w:b/>
                <w:sz w:val="20"/>
                <w:szCs w:val="20"/>
              </w:rPr>
              <w:t>30894.904</w:t>
            </w:r>
          </w:p>
        </w:tc>
      </w:tr>
      <w:tr>
        <w:trPr>
          <w:trHeight w:val="170" w:hRule="atLeast"/>
        </w:trPr>
        <w:tc>
          <w:tcPr>
            <w:tcW w:w="34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b/>
                <w:b/>
                <w:sz w:val="20"/>
                <w:szCs w:val="20"/>
              </w:rPr>
            </w:pPr>
            <w:r>
              <w:rPr>
                <w:rFonts w:cs="Arial"/>
                <w:b/>
                <w:sz w:val="20"/>
                <w:szCs w:val="20"/>
              </w:rPr>
              <w:t> </w:t>
            </w:r>
            <w:r>
              <w:rPr>
                <w:rFonts w:cs="Arial"/>
                <w:b/>
                <w:sz w:val="20"/>
                <w:szCs w:val="20"/>
              </w:rPr>
              <w:t>Итого</w:t>
            </w:r>
          </w:p>
        </w:tc>
        <w:tc>
          <w:tcPr>
            <w:tcW w:w="1809" w:type="dxa"/>
            <w:gridSpan w:val="2"/>
            <w:tcBorders>
              <w:top w:val="single" w:sz="4" w:space="0" w:color="00000A"/>
              <w:left w:val="single" w:sz="4" w:space="0" w:color="000001"/>
              <w:bottom w:val="single" w:sz="4" w:space="0" w:color="00000A"/>
              <w:right w:val="single" w:sz="4" w:space="0" w:color="000001"/>
              <w:insideH w:val="single" w:sz="4" w:space="0" w:color="00000A"/>
              <w:insideV w:val="single" w:sz="4" w:space="0" w:color="000001"/>
            </w:tcBorders>
            <w:shd w:color="auto" w:fill="auto" w:val="clear"/>
            <w:vAlign w:val="center"/>
          </w:tcPr>
          <w:p>
            <w:pPr>
              <w:pStyle w:val="Normal"/>
              <w:ind w:hanging="0"/>
              <w:jc w:val="right"/>
              <w:rPr>
                <w:rFonts w:cs="Arial"/>
                <w:sz w:val="20"/>
                <w:szCs w:val="20"/>
              </w:rPr>
            </w:pPr>
            <w:r>
              <w:rPr>
                <w:rFonts w:cs="Arial"/>
                <w:sz w:val="20"/>
                <w:szCs w:val="20"/>
              </w:rPr>
            </w:r>
          </w:p>
        </w:tc>
        <w:tc>
          <w:tcPr>
            <w:tcW w:w="18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sz w:val="20"/>
                <w:szCs w:val="20"/>
              </w:rPr>
            </w:pPr>
            <w:r>
              <w:rPr>
                <w:rFonts w:cs="Arial"/>
                <w:b/>
                <w:sz w:val="20"/>
                <w:szCs w:val="20"/>
              </w:rPr>
              <w:t>65899.058</w:t>
            </w:r>
          </w:p>
        </w:tc>
      </w:tr>
      <w:tr>
        <w:trPr>
          <w:trHeight w:val="170" w:hRule="atLeast"/>
        </w:trPr>
        <w:tc>
          <w:tcPr>
            <w:tcW w:w="14284" w:type="dxa"/>
            <w:gridSpan w:val="18"/>
            <w:tcBorders>
              <w:top w:val="single" w:sz="4" w:space="0" w:color="00000A"/>
              <w:left w:val="single" w:sz="4" w:space="0" w:color="00000A"/>
              <w:right w:val="single" w:sz="4" w:space="0" w:color="000001"/>
              <w:insideV w:val="single" w:sz="4" w:space="0" w:color="000001"/>
            </w:tcBorders>
            <w:shd w:color="auto" w:fill="auto" w:val="clear"/>
            <w:tcMar>
              <w:left w:w="88" w:type="dxa"/>
            </w:tcMar>
            <w:vAlign w:val="center"/>
          </w:tcPr>
          <w:p>
            <w:pPr>
              <w:pStyle w:val="Normal"/>
              <w:ind w:hanging="0"/>
              <w:jc w:val="center"/>
              <w:rPr>
                <w:rFonts w:cs="Arial"/>
                <w:b/>
                <w:b/>
                <w:bCs/>
                <w:sz w:val="20"/>
                <w:szCs w:val="20"/>
              </w:rPr>
            </w:pPr>
            <w:r>
              <w:rPr>
                <w:rFonts w:cs="Arial"/>
                <w:b/>
                <w:bCs/>
                <w:sz w:val="20"/>
                <w:szCs w:val="20"/>
              </w:rPr>
              <w:t>Этап II</w:t>
            </w:r>
          </w:p>
        </w:tc>
      </w:tr>
      <w:tr>
        <w:trPr>
          <w:trHeight w:val="170" w:hRule="atLeast"/>
        </w:trPr>
        <w:tc>
          <w:tcPr>
            <w:tcW w:w="14284" w:type="dxa"/>
            <w:gridSpan w:val="18"/>
            <w:tcBorders>
              <w:top w:val="single" w:sz="4" w:space="0" w:color="00000A"/>
              <w:left w:val="single" w:sz="4" w:space="0" w:color="00000A"/>
              <w:bottom w:val="single" w:sz="4" w:space="0" w:color="00000A"/>
              <w:right w:val="single" w:sz="4" w:space="0" w:color="000001"/>
              <w:insideH w:val="single" w:sz="4" w:space="0" w:color="00000A"/>
              <w:insideV w:val="single" w:sz="4" w:space="0" w:color="000001"/>
            </w:tcBorders>
            <w:shd w:color="auto" w:fill="auto" w:val="clear"/>
            <w:tcMar>
              <w:left w:w="88" w:type="dxa"/>
            </w:tcMar>
            <w:vAlign w:val="center"/>
          </w:tcPr>
          <w:p>
            <w:pPr>
              <w:pStyle w:val="Normal"/>
              <w:ind w:hanging="0"/>
              <w:jc w:val="center"/>
              <w:rPr>
                <w:rFonts w:cs="Arial"/>
                <w:sz w:val="20"/>
                <w:szCs w:val="20"/>
              </w:rPr>
            </w:pPr>
            <w:r>
              <w:rPr>
                <w:rFonts w:cs="Arial"/>
                <w:sz w:val="20"/>
                <w:szCs w:val="20"/>
              </w:rPr>
              <w:t>2021-2030г.</w:t>
            </w:r>
          </w:p>
        </w:tc>
      </w:tr>
      <w:tr>
        <w:trPr>
          <w:trHeight w:val="170" w:hRule="atLeast"/>
        </w:trPr>
        <w:tc>
          <w:tcPr>
            <w:tcW w:w="34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b/>
                <w:b/>
                <w:bCs/>
                <w:sz w:val="20"/>
                <w:szCs w:val="20"/>
              </w:rPr>
            </w:pPr>
            <w:r>
              <w:rPr>
                <w:rFonts w:cs="Arial"/>
                <w:b/>
                <w:bCs/>
                <w:sz w:val="20"/>
                <w:szCs w:val="20"/>
              </w:rPr>
              <w:t>Источник теплоснабжения </w:t>
            </w:r>
          </w:p>
        </w:tc>
        <w:tc>
          <w:tcPr>
            <w:tcW w:w="180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bCs/>
                <w:sz w:val="20"/>
                <w:szCs w:val="20"/>
              </w:rPr>
            </w:pPr>
            <w:r>
              <w:rPr>
                <w:rFonts w:cs="Arial"/>
                <w:b/>
                <w:bCs/>
                <w:sz w:val="20"/>
                <w:szCs w:val="20"/>
              </w:rPr>
            </w:r>
          </w:p>
        </w:tc>
        <w:tc>
          <w:tcPr>
            <w:tcW w:w="18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sz w:val="20"/>
                <w:szCs w:val="20"/>
              </w:rPr>
            </w:pPr>
            <w:r>
              <w:rPr>
                <w:rFonts w:cs="Arial"/>
                <w:b/>
                <w:sz w:val="20"/>
                <w:szCs w:val="20"/>
              </w:rPr>
            </w:r>
          </w:p>
        </w:tc>
      </w:tr>
      <w:tr>
        <w:trPr>
          <w:trHeight w:val="170" w:hRule="atLeast"/>
        </w:trPr>
        <w:tc>
          <w:tcPr>
            <w:tcW w:w="1561" w:type="dxa"/>
            <w:vMerge w:val="restart"/>
            <w:tcBorders>
              <w:left w:val="single" w:sz="4" w:space="0" w:color="00000A"/>
              <w:right w:val="single" w:sz="4" w:space="0" w:color="00000A"/>
              <w:insideV w:val="single" w:sz="4" w:space="0" w:color="00000A"/>
            </w:tcBorders>
            <w:shd w:color="auto" w:fill="auto" w:val="clear"/>
            <w:tcMar>
              <w:left w:w="88" w:type="dxa"/>
            </w:tcMar>
            <w:vAlign w:val="center"/>
          </w:tcPr>
          <w:p>
            <w:pPr>
              <w:pStyle w:val="Normal"/>
              <w:ind w:hanging="0"/>
              <w:jc w:val="left"/>
              <w:rPr>
                <w:rFonts w:cs="Arial"/>
                <w:sz w:val="20"/>
                <w:szCs w:val="20"/>
              </w:rPr>
            </w:pPr>
            <w:r>
              <w:rPr>
                <w:rFonts w:cs="Arial"/>
                <w:sz w:val="20"/>
                <w:szCs w:val="20"/>
              </w:rPr>
              <w:t xml:space="preserve">    </w:t>
            </w:r>
            <w:r>
              <w:rPr>
                <w:rFonts w:cs="Arial"/>
                <w:sz w:val="20"/>
                <w:szCs w:val="20"/>
              </w:rPr>
              <w:t>Котельные</w:t>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left"/>
              <w:rPr>
                <w:rFonts w:cs="Arial"/>
                <w:sz w:val="20"/>
                <w:szCs w:val="20"/>
              </w:rPr>
            </w:pPr>
            <w:r>
              <w:rPr>
                <w:rFonts w:cs="Arial"/>
                <w:sz w:val="20"/>
                <w:szCs w:val="20"/>
              </w:rPr>
              <w:t>Строительство</w:t>
            </w:r>
          </w:p>
        </w:tc>
        <w:tc>
          <w:tcPr>
            <w:tcW w:w="1808" w:type="dxa"/>
            <w:gridSpan w:val="2"/>
            <w:tcBorders>
              <w:left w:val="single" w:sz="4" w:space="0" w:color="00000A"/>
              <w:right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t>6140,64</w:t>
            </w:r>
          </w:p>
        </w:tc>
        <w:tc>
          <w:tcPr>
            <w:tcW w:w="1809"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left w:val="single" w:sz="4" w:space="0" w:color="00000A"/>
              <w:right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t>35000</w:t>
            </w:r>
          </w:p>
        </w:tc>
        <w:tc>
          <w:tcPr>
            <w:tcW w:w="1810" w:type="dxa"/>
            <w:gridSpan w:val="3"/>
            <w:tcBorders>
              <w:left w:val="single" w:sz="4" w:space="0" w:color="00000A"/>
              <w:right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t>34890</w:t>
            </w:r>
          </w:p>
        </w:tc>
        <w:tc>
          <w:tcPr>
            <w:tcW w:w="1810" w:type="dxa"/>
            <w:gridSpan w:val="3"/>
            <w:tcBorders>
              <w:left w:val="single" w:sz="4" w:space="0" w:color="00000A"/>
              <w:right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t>2093.4</w:t>
            </w:r>
          </w:p>
        </w:tc>
        <w:tc>
          <w:tcPr>
            <w:tcW w:w="180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right"/>
              <w:rPr>
                <w:rFonts w:cs="Arial"/>
                <w:b/>
                <w:b/>
                <w:sz w:val="20"/>
                <w:szCs w:val="20"/>
              </w:rPr>
            </w:pPr>
            <w:r>
              <w:rPr>
                <w:rFonts w:cs="Arial"/>
                <w:b/>
                <w:sz w:val="20"/>
                <w:szCs w:val="20"/>
              </w:rPr>
              <w:t>78124.04</w:t>
            </w:r>
          </w:p>
        </w:tc>
      </w:tr>
      <w:tr>
        <w:trPr>
          <w:trHeight w:val="170" w:hRule="atLeast"/>
        </w:trPr>
        <w:tc>
          <w:tcPr>
            <w:tcW w:w="156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sz w:val="20"/>
                <w:szCs w:val="20"/>
              </w:rPr>
            </w:pPr>
            <w:r>
              <w:rPr>
                <w:rFonts w:cs="Arial"/>
                <w:sz w:val="20"/>
                <w:szCs w:val="20"/>
              </w:rPr>
            </w:r>
          </w:p>
        </w:tc>
        <w:tc>
          <w:tcPr>
            <w:tcW w:w="18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left"/>
              <w:rPr>
                <w:rFonts w:cs="Arial"/>
                <w:sz w:val="20"/>
                <w:szCs w:val="20"/>
              </w:rPr>
            </w:pPr>
            <w:r>
              <w:rPr>
                <w:rFonts w:cs="Arial"/>
                <w:sz w:val="20"/>
                <w:szCs w:val="20"/>
              </w:rPr>
              <w:t>Модернизация</w:t>
            </w:r>
          </w:p>
        </w:tc>
        <w:tc>
          <w:tcPr>
            <w:tcW w:w="18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9"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sz w:val="20"/>
                <w:szCs w:val="20"/>
              </w:rPr>
            </w:pPr>
            <w:r>
              <w:rPr>
                <w:rFonts w:cs="Arial"/>
                <w:b/>
                <w:sz w:val="20"/>
                <w:szCs w:val="20"/>
              </w:rPr>
            </w:r>
          </w:p>
        </w:tc>
      </w:tr>
      <w:tr>
        <w:trPr>
          <w:trHeight w:val="170" w:hRule="atLeast"/>
        </w:trPr>
        <w:tc>
          <w:tcPr>
            <w:tcW w:w="34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b/>
                <w:b/>
                <w:bCs/>
                <w:sz w:val="20"/>
                <w:szCs w:val="20"/>
              </w:rPr>
            </w:pPr>
            <w:r>
              <w:rPr>
                <w:rFonts w:cs="Arial"/>
                <w:b/>
                <w:bCs/>
                <w:sz w:val="20"/>
                <w:szCs w:val="20"/>
              </w:rPr>
              <w:t>Тепловые сети </w:t>
            </w:r>
          </w:p>
        </w:tc>
        <w:tc>
          <w:tcPr>
            <w:tcW w:w="180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bCs/>
                <w:sz w:val="20"/>
                <w:szCs w:val="20"/>
              </w:rPr>
            </w:pPr>
            <w:r>
              <w:rPr>
                <w:rFonts w:cs="Arial"/>
                <w:b/>
                <w:bCs/>
                <w:sz w:val="20"/>
                <w:szCs w:val="20"/>
              </w:rPr>
            </w:r>
          </w:p>
        </w:tc>
        <w:tc>
          <w:tcPr>
            <w:tcW w:w="18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sz w:val="20"/>
                <w:szCs w:val="20"/>
              </w:rPr>
            </w:pPr>
            <w:r>
              <w:rPr>
                <w:rFonts w:cs="Arial"/>
                <w:b/>
                <w:sz w:val="20"/>
                <w:szCs w:val="20"/>
              </w:rPr>
            </w:r>
          </w:p>
        </w:tc>
      </w:tr>
      <w:tr>
        <w:trPr>
          <w:trHeight w:val="170" w:hRule="atLeast"/>
        </w:trPr>
        <w:tc>
          <w:tcPr>
            <w:tcW w:w="34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rPr>
                <w:rFonts w:cs="Arial"/>
                <w:sz w:val="20"/>
                <w:szCs w:val="20"/>
              </w:rPr>
            </w:pPr>
            <w:r>
              <w:rPr>
                <w:rFonts w:cs="Arial"/>
                <w:sz w:val="20"/>
                <w:szCs w:val="20"/>
              </w:rPr>
              <w:t xml:space="preserve">   </w:t>
            </w:r>
            <w:r>
              <w:rPr>
                <w:rFonts w:cs="Arial"/>
                <w:sz w:val="20"/>
                <w:szCs w:val="20"/>
              </w:rPr>
              <w:t>Монтаж</w:t>
            </w:r>
          </w:p>
        </w:tc>
        <w:tc>
          <w:tcPr>
            <w:tcW w:w="180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t>23171.178</w:t>
            </w:r>
          </w:p>
        </w:tc>
        <w:tc>
          <w:tcPr>
            <w:tcW w:w="181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t>23171.178</w:t>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sz w:val="20"/>
                <w:szCs w:val="20"/>
              </w:rPr>
            </w:pPr>
            <w:r>
              <w:rPr>
                <w:rFonts w:cs="Arial"/>
                <w:b/>
                <w:sz w:val="20"/>
                <w:szCs w:val="20"/>
              </w:rPr>
              <w:t>46342.356</w:t>
            </w:r>
          </w:p>
        </w:tc>
      </w:tr>
      <w:tr>
        <w:trPr>
          <w:trHeight w:val="170" w:hRule="atLeast"/>
        </w:trPr>
        <w:tc>
          <w:tcPr>
            <w:tcW w:w="34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sz w:val="20"/>
                <w:szCs w:val="20"/>
              </w:rPr>
            </w:pPr>
            <w:r>
              <w:rPr>
                <w:rFonts w:cs="Arial"/>
                <w:b/>
                <w:sz w:val="20"/>
                <w:szCs w:val="20"/>
              </w:rPr>
              <w:t> </w:t>
            </w:r>
            <w:r>
              <w:rPr>
                <w:rFonts w:cs="Arial"/>
                <w:b/>
                <w:sz w:val="20"/>
                <w:szCs w:val="20"/>
              </w:rPr>
              <w:t>Итого</w:t>
            </w:r>
          </w:p>
        </w:tc>
        <w:tc>
          <w:tcPr>
            <w:tcW w:w="180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bCs/>
                <w:sz w:val="20"/>
                <w:szCs w:val="20"/>
              </w:rPr>
            </w:pPr>
            <w:r>
              <w:rPr>
                <w:rFonts w:cs="Arial"/>
                <w:b/>
                <w:bCs/>
                <w:sz w:val="20"/>
                <w:szCs w:val="20"/>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bCs/>
                <w:sz w:val="20"/>
                <w:szCs w:val="20"/>
              </w:rPr>
            </w:pPr>
            <w:r>
              <w:rPr>
                <w:rFonts w:cs="Arial"/>
                <w:b/>
                <w:bCs/>
                <w:sz w:val="20"/>
                <w:szCs w:val="20"/>
              </w:rPr>
              <w:t>124466.396</w:t>
            </w:r>
          </w:p>
        </w:tc>
      </w:tr>
      <w:tr>
        <w:trPr>
          <w:trHeight w:val="170" w:hRule="atLeast"/>
        </w:trPr>
        <w:tc>
          <w:tcPr>
            <w:tcW w:w="34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vAlign w:val="center"/>
          </w:tcPr>
          <w:p>
            <w:pPr>
              <w:pStyle w:val="Normal"/>
              <w:ind w:hanging="0"/>
              <w:jc w:val="left"/>
              <w:rPr>
                <w:rFonts w:cs="Arial"/>
                <w:b/>
                <w:b/>
                <w:sz w:val="20"/>
                <w:szCs w:val="20"/>
              </w:rPr>
            </w:pPr>
            <w:r>
              <w:rPr>
                <w:rFonts w:cs="Arial"/>
                <w:b/>
                <w:sz w:val="20"/>
                <w:szCs w:val="20"/>
              </w:rPr>
              <w:t>Итого</w:t>
            </w:r>
          </w:p>
        </w:tc>
        <w:tc>
          <w:tcPr>
            <w:tcW w:w="180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1"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sz w:val="20"/>
                <w:szCs w:val="20"/>
              </w:rPr>
            </w:pPr>
            <w:r>
              <w:rPr>
                <w:rFonts w:cs="Arial"/>
                <w:sz w:val="20"/>
                <w:szCs w:val="20"/>
              </w:rPr>
            </w:r>
          </w:p>
        </w:tc>
        <w:tc>
          <w:tcPr>
            <w:tcW w:w="181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bCs/>
                <w:sz w:val="20"/>
                <w:szCs w:val="20"/>
              </w:rPr>
            </w:pPr>
            <w:r>
              <w:rPr>
                <w:rFonts w:cs="Arial"/>
                <w:b/>
                <w:bCs/>
                <w:sz w:val="20"/>
                <w:szCs w:val="20"/>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ind w:hanging="0"/>
              <w:jc w:val="right"/>
              <w:rPr>
                <w:rFonts w:cs="Arial"/>
                <w:b/>
                <w:b/>
                <w:bCs/>
                <w:sz w:val="20"/>
                <w:szCs w:val="20"/>
              </w:rPr>
            </w:pPr>
            <w:r>
              <w:rPr>
                <w:rFonts w:cs="Arial"/>
                <w:b/>
                <w:bCs/>
                <w:sz w:val="20"/>
                <w:szCs w:val="20"/>
              </w:rPr>
              <w:t>190365.454</w:t>
            </w:r>
          </w:p>
        </w:tc>
      </w:tr>
      <w:tr>
        <w:trPr>
          <w:trHeight w:val="23" w:hRule="exact"/>
        </w:trPr>
        <w:tc>
          <w:tcPr>
            <w:tcW w:w="14284" w:type="dxa"/>
            <w:gridSpan w:val="18"/>
            <w:tcBorders>
              <w:top w:val="single" w:sz="4" w:space="0" w:color="00000A"/>
              <w:left w:val="single" w:sz="4" w:space="0" w:color="00000A"/>
              <w:right w:val="single" w:sz="4" w:space="0" w:color="00000A"/>
              <w:insideV w:val="single" w:sz="4" w:space="0" w:color="00000A"/>
            </w:tcBorders>
            <w:shd w:color="auto" w:fill="auto" w:val="clear"/>
            <w:vAlign w:val="center"/>
          </w:tcPr>
          <w:p>
            <w:pPr>
              <w:pStyle w:val="Normal"/>
              <w:ind w:hanging="0"/>
              <w:rPr>
                <w:rFonts w:cs="Arial"/>
                <w:color w:val="0000FF"/>
                <w:sz w:val="20"/>
                <w:szCs w:val="20"/>
                <w:u w:val="single"/>
              </w:rPr>
            </w:pPr>
            <w:r>
              <w:rPr>
                <w:rFonts w:cs="Arial"/>
                <w:color w:val="0000FF"/>
                <w:sz w:val="20"/>
                <w:szCs w:val="20"/>
                <w:u w:val="single"/>
              </w:rPr>
            </w:r>
          </w:p>
        </w:tc>
      </w:tr>
    </w:tbl>
    <w:p>
      <w:pPr>
        <w:sectPr>
          <w:footerReference w:type="default" r:id="rId31"/>
          <w:type w:val="nextPage"/>
          <w:pgSz w:orient="landscape" w:w="16838" w:h="11906"/>
          <w:pgMar w:left="1701" w:right="851" w:header="0" w:top="567" w:footer="709" w:bottom="766" w:gutter="0"/>
          <w:pgNumType w:fmt="decimal"/>
          <w:formProt w:val="false"/>
          <w:textDirection w:val="lrTb"/>
          <w:docGrid w:type="default" w:linePitch="381" w:charSpace="4294957055"/>
        </w:sectPr>
      </w:pPr>
    </w:p>
    <w:p>
      <w:pPr>
        <w:pStyle w:val="Normal"/>
        <w:numPr>
          <w:ilvl w:val="0"/>
          <w:numId w:val="1"/>
        </w:numPr>
        <w:spacing w:before="0" w:after="0"/>
        <w:ind w:left="0" w:hanging="0"/>
        <w:contextualSpacing/>
        <w:jc w:val="center"/>
        <w:outlineLvl w:val="0"/>
        <w:rPr>
          <w:rFonts w:cs="Arial"/>
          <w:b/>
          <w:b/>
          <w:szCs w:val="26"/>
          <w:lang w:val="ru-RU" w:eastAsia="ru-RU"/>
        </w:rPr>
      </w:pPr>
      <w:r>
        <w:rPr>
          <w:rFonts w:cs="Arial"/>
          <w:b/>
          <w:szCs w:val="26"/>
          <w:lang w:val="ru-RU" w:eastAsia="ru-RU"/>
        </w:rPr>
        <w:t>Обоснование предложений по определению единой теплоснабжающей организации</w:t>
      </w:r>
    </w:p>
    <w:p>
      <w:pPr>
        <w:pStyle w:val="Normal"/>
        <w:rPr>
          <w:lang w:val="ru-RU" w:eastAsia="ru-RU"/>
        </w:rPr>
      </w:pPr>
      <w:r>
        <w:rPr>
          <w:lang w:val="ru-RU" w:eastAsia="ru-RU"/>
        </w:rPr>
      </w:r>
    </w:p>
    <w:p>
      <w:pPr>
        <w:pStyle w:val="Normal"/>
        <w:rPr>
          <w:rFonts w:cs="Arial"/>
          <w:szCs w:val="26"/>
          <w:highlight w:val="white"/>
          <w:lang w:val="ru-RU"/>
        </w:rPr>
      </w:pPr>
      <w:r>
        <w:rPr>
          <w:rFonts w:cs="Arial"/>
          <w:szCs w:val="26"/>
          <w:lang w:val="ru-RU"/>
        </w:rPr>
        <w:t xml:space="preserve">Единая теплоснабжающая организация в системе теплоснабжения определяется на основании </w:t>
      </w:r>
      <w:r>
        <w:rPr>
          <w:rFonts w:cs="Arial"/>
          <w:szCs w:val="26"/>
          <w:shd w:fill="FFFFFF" w:val="clear"/>
          <w:lang w:val="ru-RU"/>
        </w:rPr>
        <w:t>Федерального закона от</w:t>
      </w:r>
      <w:r>
        <w:rPr>
          <w:rFonts w:cs="Arial"/>
          <w:szCs w:val="26"/>
          <w:shd w:fill="FFFFFF" w:val="clear"/>
        </w:rPr>
        <w:t> </w:t>
      </w:r>
      <w:r>
        <w:rPr>
          <w:rFonts w:cs="Arial"/>
          <w:szCs w:val="26"/>
          <w:shd w:fill="FFFFFF" w:val="clear"/>
          <w:lang w:val="ru-RU"/>
        </w:rPr>
        <w:t>27.07.2010 №</w:t>
      </w:r>
      <w:r>
        <w:rPr>
          <w:rFonts w:cs="Arial"/>
          <w:szCs w:val="26"/>
          <w:shd w:fill="FFFFFF" w:val="clear"/>
        </w:rPr>
        <w:t> </w:t>
      </w:r>
      <w:r>
        <w:rPr>
          <w:rFonts w:cs="Arial"/>
          <w:szCs w:val="26"/>
          <w:shd w:fill="FFFFFF" w:val="clear"/>
          <w:lang w:val="ru-RU"/>
        </w:rPr>
        <w:t>190-ФЗ "О теплоснабжении".</w:t>
      </w:r>
    </w:p>
    <w:p>
      <w:pPr>
        <w:pStyle w:val="Normal"/>
        <w:rPr>
          <w:rFonts w:cs="Arial"/>
          <w:szCs w:val="26"/>
          <w:lang w:val="ru-RU"/>
        </w:rPr>
      </w:pPr>
      <w:r>
        <w:rPr>
          <w:rFonts w:cs="Arial"/>
          <w:szCs w:val="26"/>
          <w:shd w:fill="FFFFFF" w:val="clear"/>
          <w:lang w:val="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Единая теплоснабжающая организация (ЕТО) будет ключевым игроком на тепловом рынке города или его части, если в городе есть несколько схем теплоснабжения. Она должна стать единым закупщиком у производителей тепла, диспетчерским центром и гарантирующим поставщиком (он обязан подключать к теплосетям любого обратившегося потребителя). Кроме того, ЕТО становится держателем "котлового тарифа", получающим платежи конечных потребителей и распределяющим средства между различными поставщиками тепла.</w:t>
      </w:r>
      <w:r>
        <w:rPr>
          <w:rFonts w:cs="Arial"/>
          <w:szCs w:val="26"/>
          <w:lang w:val="ru-RU"/>
        </w:rPr>
        <w:t xml:space="preserve"> </w:t>
      </w:r>
      <w:r>
        <w:rPr>
          <w:rFonts w:cs="Arial"/>
          <w:szCs w:val="26"/>
          <w:shd w:fill="FFFFFF" w:val="clear"/>
          <w:lang w:val="ru-RU"/>
        </w:rPr>
        <w:t>Правила организации теплоснабжения в Российской Федерации (Утверждены постановлением Правительства Российской Федерации от</w:t>
      </w:r>
      <w:r>
        <w:rPr>
          <w:rFonts w:cs="Arial"/>
          <w:szCs w:val="26"/>
          <w:shd w:fill="FFFFFF" w:val="clear"/>
        </w:rPr>
        <w:t> </w:t>
      </w:r>
      <w:r>
        <w:rPr>
          <w:rFonts w:cs="Arial"/>
          <w:szCs w:val="26"/>
          <w:shd w:fill="FFFFFF" w:val="clear"/>
          <w:lang w:val="ru-RU"/>
        </w:rPr>
        <w:t>08.08.2012 №</w:t>
      </w:r>
      <w:r>
        <w:rPr>
          <w:rFonts w:cs="Arial"/>
          <w:szCs w:val="26"/>
          <w:shd w:fill="FFFFFF" w:val="clear"/>
        </w:rPr>
        <w:t> </w:t>
      </w:r>
      <w:r>
        <w:rPr>
          <w:rFonts w:cs="Arial"/>
          <w:szCs w:val="26"/>
          <w:shd w:fill="FFFFFF" w:val="clear"/>
          <w:lang w:val="ru-RU"/>
        </w:rPr>
        <w:t>808 «Об организации теплоснабжения в Российской Федерации и о внесении изменений в некоторые акты Правительства Российской Федерации» (далее по тексту - Правила):</w:t>
      </w:r>
      <w:r>
        <w:rPr>
          <w:rFonts w:cs="Arial"/>
          <w:szCs w:val="26"/>
          <w:lang w:val="ru-RU"/>
        </w:rPr>
        <w:t xml:space="preserve"> </w:t>
      </w:r>
    </w:p>
    <w:p>
      <w:pPr>
        <w:pStyle w:val="Normal"/>
        <w:rPr>
          <w:rFonts w:cs="Arial"/>
          <w:szCs w:val="26"/>
          <w:highlight w:val="white"/>
          <w:lang w:val="ru-RU"/>
        </w:rPr>
      </w:pPr>
      <w:r>
        <w:rPr>
          <w:rFonts w:cs="Arial"/>
          <w:szCs w:val="26"/>
          <w:shd w:fill="FFFFFF" w:val="clear"/>
          <w:lang w:val="ru-RU"/>
        </w:rPr>
        <w:t>Критерии и порядок определения единой теплоснабжающей организации:</w:t>
      </w:r>
    </w:p>
    <w:p>
      <w:pPr>
        <w:pStyle w:val="Normal"/>
        <w:rPr>
          <w:rFonts w:cs="Arial"/>
          <w:szCs w:val="26"/>
          <w:highlight w:val="white"/>
          <w:lang w:val="ru-RU"/>
        </w:rPr>
      </w:pPr>
      <w:r>
        <w:rPr>
          <w:rFonts w:cs="Arial"/>
          <w:szCs w:val="26"/>
          <w:lang w:val="ru-RU"/>
        </w:rPr>
        <w:t>1.</w:t>
      </w:r>
      <w:r>
        <w:rPr>
          <w:rFonts w:cs="Arial"/>
          <w:szCs w:val="26"/>
          <w:shd w:fill="FFFFFF" w:val="clear"/>
          <w:lang w:val="ru-RU"/>
        </w:rPr>
        <w:t xml:space="preserve">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pPr>
        <w:pStyle w:val="Normal"/>
        <w:rPr>
          <w:rFonts w:cs="Arial"/>
          <w:szCs w:val="26"/>
          <w:highlight w:val="white"/>
          <w:lang w:val="ru-RU"/>
        </w:rPr>
      </w:pPr>
      <w:r>
        <w:rPr>
          <w:rFonts w:cs="Arial"/>
          <w:szCs w:val="26"/>
          <w:shd w:fill="FFFFFF" w:val="clear"/>
          <w:lang w:val="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r>
        <w:rPr>
          <w:rFonts w:cs="Arial"/>
          <w:szCs w:val="26"/>
          <w:lang w:val="ru-RU"/>
        </w:rPr>
        <w:br/>
      </w:r>
      <w:r>
        <w:rPr>
          <w:rFonts w:cs="Arial"/>
          <w:szCs w:val="26"/>
          <w:shd w:fill="FFFFFF" w:val="clear"/>
          <w:lang w:val="ru-RU"/>
        </w:rPr>
        <w:t>В случае если на территории поселения, городского округа существуют несколько систем теплоснабжения, уполномоченные органы вправе:</w:t>
      </w:r>
      <w:r>
        <w:rPr>
          <w:rFonts w:cs="Arial"/>
          <w:szCs w:val="26"/>
          <w:lang w:val="ru-RU"/>
        </w:rPr>
        <w:br/>
      </w:r>
      <w:r>
        <w:rPr>
          <w:rFonts w:cs="Arial"/>
          <w:szCs w:val="26"/>
          <w:shd w:fill="FFFFFF" w:val="clear"/>
          <w:lang w:val="ru-RU"/>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 определить на несколько систем теплоснабжения единую теплоснабжающую организацию.</w:t>
      </w:r>
    </w:p>
    <w:p>
      <w:pPr>
        <w:pStyle w:val="Normal"/>
        <w:rPr>
          <w:rFonts w:cs="Arial"/>
          <w:szCs w:val="26"/>
          <w:highlight w:val="white"/>
          <w:lang w:val="ru-RU"/>
        </w:rPr>
      </w:pPr>
      <w:r>
        <w:rPr>
          <w:rFonts w:cs="Arial"/>
          <w:szCs w:val="26"/>
          <w:shd w:fill="FFFFFF" w:val="clear"/>
          <w:lang w:val="ru-RU"/>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pPr>
        <w:pStyle w:val="Normal"/>
        <w:rPr>
          <w:rFonts w:cs="Arial"/>
          <w:szCs w:val="26"/>
          <w:highlight w:val="white"/>
          <w:lang w:val="ru-RU"/>
        </w:rPr>
      </w:pPr>
      <w:r>
        <w:rPr>
          <w:rFonts w:cs="Arial"/>
          <w:szCs w:val="26"/>
          <w:shd w:fill="FFFFFF" w:val="clear"/>
          <w:lang w:val="ru-RU"/>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Правил.</w:t>
      </w:r>
    </w:p>
    <w:p>
      <w:pPr>
        <w:pStyle w:val="Normal"/>
        <w:rPr>
          <w:rFonts w:cs="Arial"/>
          <w:szCs w:val="26"/>
          <w:lang w:val="ru-RU"/>
        </w:rPr>
      </w:pPr>
      <w:r>
        <w:rPr>
          <w:rFonts w:cs="Arial"/>
          <w:szCs w:val="26"/>
          <w:shd w:fill="FFFFFF" w:val="clear"/>
          <w:lang w:val="ru-RU"/>
        </w:rPr>
        <w:t>5. Критериями определения единой теплоснабжающей организации являются:</w:t>
      </w:r>
      <w:r>
        <w:rPr>
          <w:rFonts w:cs="Arial"/>
          <w:szCs w:val="26"/>
          <w:lang w:val="ru-RU"/>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размер собственного капитала; способность в лучшей мере обеспечить надежность теплоснабжения в соответствующей системе теплоснабжения. 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pPr>
        <w:pStyle w:val="Normal"/>
        <w:rPr>
          <w:rFonts w:cs="Arial"/>
          <w:szCs w:val="26"/>
          <w:highlight w:val="white"/>
          <w:lang w:val="ru-RU"/>
        </w:rPr>
      </w:pPr>
      <w:r>
        <w:rPr>
          <w:rFonts w:cs="Arial"/>
          <w:szCs w:val="26"/>
          <w:shd w:fill="FFFFFF" w:val="clear"/>
          <w:lang w:val="ru-RU"/>
        </w:rPr>
        <w:t>6.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pPr>
        <w:pStyle w:val="Normal"/>
        <w:rPr>
          <w:rFonts w:cs="Arial"/>
          <w:szCs w:val="26"/>
          <w:highlight w:val="white"/>
          <w:lang w:val="ru-RU"/>
        </w:rPr>
      </w:pPr>
      <w:r>
        <w:rPr>
          <w:rFonts w:cs="Arial"/>
          <w:szCs w:val="26"/>
          <w:shd w:fill="FFFFFF" w:val="clear"/>
          <w:lang w:val="ru-RU"/>
        </w:rPr>
        <w:t>7.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pPr>
        <w:pStyle w:val="Normal"/>
        <w:rPr>
          <w:rFonts w:cs="Arial"/>
          <w:szCs w:val="26"/>
          <w:highlight w:val="white"/>
          <w:lang w:val="ru-RU"/>
        </w:rPr>
      </w:pPr>
      <w:r>
        <w:rPr>
          <w:rFonts w:cs="Arial"/>
          <w:szCs w:val="26"/>
          <w:shd w:fill="FFFFFF" w:val="clear"/>
          <w:lang w:val="ru-RU"/>
        </w:rPr>
        <w:t>8.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pPr>
        <w:pStyle w:val="Normal"/>
        <w:rPr>
          <w:rFonts w:cs="Arial"/>
          <w:szCs w:val="26"/>
          <w:highlight w:val="white"/>
          <w:lang w:val="ru-RU"/>
        </w:rPr>
      </w:pPr>
      <w:r>
        <w:rPr>
          <w:rFonts w:cs="Arial"/>
          <w:szCs w:val="26"/>
          <w:shd w:fill="FFFFFF" w:val="clear"/>
          <w:lang w:val="ru-RU"/>
        </w:rPr>
        <w:t>9.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pPr>
        <w:pStyle w:val="Normal"/>
        <w:rPr>
          <w:rFonts w:cs="Arial"/>
          <w:szCs w:val="26"/>
          <w:highlight w:val="white"/>
          <w:lang w:val="ru-RU"/>
        </w:rPr>
      </w:pPr>
      <w:r>
        <w:rPr>
          <w:rFonts w:cs="Arial"/>
          <w:szCs w:val="26"/>
          <w:shd w:fill="FFFFFF" w:val="clear"/>
          <w:lang w:val="ru-RU"/>
        </w:rPr>
        <w:t>10. Единая теплоснабжающая организация при осуществлении своей деятельности обязана:</w:t>
      </w:r>
    </w:p>
    <w:p>
      <w:pPr>
        <w:pStyle w:val="Normal"/>
        <w:spacing w:before="0" w:after="0"/>
        <w:contextualSpacing/>
        <w:rPr>
          <w:rFonts w:cs="Arial"/>
          <w:szCs w:val="26"/>
          <w:lang w:val="ru-RU" w:eastAsia="zh-CN"/>
        </w:rPr>
      </w:pPr>
      <w:r>
        <w:rPr>
          <w:rFonts w:cs="Arial"/>
          <w:szCs w:val="26"/>
          <w:lang w:val="ru-RU" w:eastAsia="zh-CN"/>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pPr>
        <w:pStyle w:val="Normal"/>
        <w:spacing w:before="0" w:after="0"/>
        <w:contextualSpacing/>
        <w:rPr>
          <w:rFonts w:cs="Arial"/>
          <w:szCs w:val="26"/>
          <w:lang w:val="ru-RU" w:eastAsia="zh-CN"/>
        </w:rPr>
      </w:pPr>
      <w:r>
        <w:rPr>
          <w:rFonts w:cs="Arial"/>
          <w:szCs w:val="26"/>
          <w:lang w:val="ru-RU" w:eastAsia="zh-CN"/>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pPr>
        <w:pStyle w:val="Normal"/>
        <w:spacing w:before="0" w:after="0"/>
        <w:contextualSpacing/>
        <w:rPr>
          <w:rFonts w:cs="Arial"/>
          <w:szCs w:val="26"/>
          <w:lang w:val="ru-RU" w:eastAsia="zh-CN"/>
        </w:rPr>
      </w:pPr>
      <w:r>
        <w:rPr>
          <w:rFonts w:cs="Arial"/>
          <w:szCs w:val="26"/>
          <w:lang w:val="ru-RU" w:eastAsia="zh-CN"/>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pPr>
        <w:pStyle w:val="Normal"/>
        <w:rPr>
          <w:rFonts w:cs="Arial"/>
          <w:szCs w:val="26"/>
          <w:highlight w:val="white"/>
          <w:lang w:val="ru-RU"/>
        </w:rPr>
      </w:pPr>
      <w:r>
        <w:rPr>
          <w:rFonts w:cs="Arial"/>
          <w:szCs w:val="26"/>
          <w:shd w:fill="FFFFFF" w:val="clear"/>
          <w:lang w:val="ru-RU"/>
        </w:rPr>
        <w:t>11. Организация может утратить статус единой теплоснабжающей организации в следующих случаях:</w:t>
      </w:r>
    </w:p>
    <w:p>
      <w:pPr>
        <w:pStyle w:val="Normal"/>
        <w:spacing w:before="0" w:after="0"/>
        <w:contextualSpacing/>
        <w:rPr>
          <w:rFonts w:cs="Arial"/>
          <w:szCs w:val="26"/>
          <w:highlight w:val="white"/>
          <w:lang w:val="ru-RU" w:eastAsia="zh-CN"/>
        </w:rPr>
      </w:pPr>
      <w:r>
        <w:rPr>
          <w:rFonts w:cs="Arial"/>
          <w:szCs w:val="26"/>
          <w:shd w:fill="FFFFFF" w:val="clear"/>
          <w:lang w:val="ru-RU" w:eastAsia="zh-CN"/>
        </w:rPr>
        <w:t>систематическое (3 и более раза в течение 12 месяцев) неисполнение или ненадлежащее исполнение обязательств, предусмотренных условиями договоров, указанных в пункте 12 Правил.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pPr>
        <w:pStyle w:val="Normal"/>
        <w:spacing w:before="0" w:after="0"/>
        <w:contextualSpacing/>
        <w:rPr>
          <w:rFonts w:cs="Arial"/>
          <w:szCs w:val="26"/>
          <w:highlight w:val="white"/>
          <w:lang w:val="ru-RU" w:eastAsia="zh-CN"/>
        </w:rPr>
      </w:pPr>
      <w:r>
        <w:rPr>
          <w:rFonts w:cs="Arial"/>
          <w:szCs w:val="26"/>
          <w:shd w:fill="FFFFFF" w:val="clear"/>
          <w:lang w:val="ru-RU" w:eastAsia="zh-CN"/>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pPr>
        <w:pStyle w:val="Normal"/>
        <w:spacing w:before="0" w:after="0"/>
        <w:contextualSpacing/>
        <w:rPr>
          <w:rFonts w:cs="Arial"/>
          <w:szCs w:val="26"/>
          <w:highlight w:val="white"/>
          <w:lang w:val="ru-RU" w:eastAsia="zh-CN"/>
        </w:rPr>
      </w:pPr>
      <w:r>
        <w:rPr>
          <w:rFonts w:cs="Arial"/>
          <w:szCs w:val="26"/>
          <w:shd w:fill="FFFFFF" w:val="clear"/>
          <w:lang w:val="ru-RU" w:eastAsia="zh-CN"/>
        </w:rPr>
        <w:t>принятие арбитражным судом решения о признании организации, имеющей статус единой теплоснабжающей организации, банкротом;</w:t>
      </w:r>
    </w:p>
    <w:p>
      <w:pPr>
        <w:pStyle w:val="Normal"/>
        <w:spacing w:before="0" w:after="0"/>
        <w:contextualSpacing/>
        <w:rPr>
          <w:rFonts w:cs="Arial"/>
          <w:szCs w:val="26"/>
          <w:highlight w:val="white"/>
          <w:lang w:val="ru-RU" w:eastAsia="zh-CN"/>
        </w:rPr>
      </w:pPr>
      <w:r>
        <w:rPr>
          <w:rFonts w:cs="Arial"/>
          <w:szCs w:val="26"/>
          <w:shd w:fill="FFFFFF" w:val="clear"/>
          <w:lang w:val="ru-RU" w:eastAsia="zh-CN"/>
        </w:rPr>
        <w:t>прекращение права собственности или владения имуществом, указанным в абзаце втором пункта 7 Правил, по основаниям, предусмотренным законодательством Российской Федерации;</w:t>
      </w:r>
    </w:p>
    <w:p>
      <w:pPr>
        <w:pStyle w:val="Normal"/>
        <w:spacing w:before="0" w:after="0"/>
        <w:contextualSpacing/>
        <w:rPr>
          <w:rFonts w:cs="Arial"/>
          <w:szCs w:val="26"/>
          <w:highlight w:val="white"/>
          <w:lang w:val="ru-RU" w:eastAsia="zh-CN"/>
        </w:rPr>
      </w:pPr>
      <w:r>
        <w:rPr>
          <w:rFonts w:cs="Arial"/>
          <w:szCs w:val="26"/>
          <w:shd w:fill="FFFFFF" w:val="clear"/>
          <w:lang w:val="ru-RU" w:eastAsia="zh-CN"/>
        </w:rPr>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pPr>
        <w:pStyle w:val="Normal"/>
        <w:spacing w:before="0" w:after="0"/>
        <w:contextualSpacing/>
        <w:rPr>
          <w:rFonts w:cs="Arial"/>
          <w:szCs w:val="26"/>
          <w:highlight w:val="white"/>
          <w:lang w:val="ru-RU" w:eastAsia="zh-CN"/>
        </w:rPr>
      </w:pPr>
      <w:r>
        <w:rPr>
          <w:rFonts w:cs="Arial"/>
          <w:szCs w:val="26"/>
          <w:shd w:fill="FFFFFF" w:val="clear"/>
          <w:lang w:val="ru-RU" w:eastAsia="zh-CN"/>
        </w:rPr>
        <w:t>подача организацией заявления о прекращении осуществления функций единой теплоснабжающей организации.</w:t>
      </w:r>
    </w:p>
    <w:p>
      <w:pPr>
        <w:pStyle w:val="Normal"/>
        <w:rPr>
          <w:rFonts w:cs="Arial"/>
          <w:szCs w:val="26"/>
          <w:highlight w:val="white"/>
          <w:lang w:val="ru-RU"/>
        </w:rPr>
      </w:pPr>
      <w:r>
        <w:rPr>
          <w:rFonts w:cs="Arial"/>
          <w:szCs w:val="26"/>
          <w:shd w:fill="FFFFFF" w:val="clear"/>
          <w:lang w:val="ru-RU"/>
        </w:rPr>
        <w:t>12. Лица, права и законные интересы которых нарушены по основаниям, предусмотренным абзацем вторым пункта 13 Правил,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pPr>
        <w:pStyle w:val="Normal"/>
        <w:rPr>
          <w:rFonts w:cs="Arial"/>
          <w:szCs w:val="26"/>
          <w:highlight w:val="white"/>
          <w:lang w:val="ru-RU"/>
        </w:rPr>
      </w:pPr>
      <w:r>
        <w:rPr>
          <w:rFonts w:cs="Arial"/>
          <w:szCs w:val="26"/>
          <w:shd w:fill="FFFFFF" w:val="clear"/>
          <w:lang w:val="ru-RU"/>
        </w:rP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указанных в абзацах третьем — пятом пункта 13 Правил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pPr>
        <w:pStyle w:val="Normal"/>
        <w:rPr>
          <w:rFonts w:cs="Arial"/>
          <w:szCs w:val="26"/>
          <w:highlight w:val="white"/>
          <w:lang w:val="ru-RU"/>
        </w:rPr>
      </w:pPr>
      <w:r>
        <w:rPr>
          <w:rFonts w:cs="Arial"/>
          <w:szCs w:val="26"/>
          <w:shd w:fill="FFFFFF" w:val="clear"/>
          <w:lang w:val="ru-RU"/>
        </w:rPr>
        <w:t>13. 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случаев, если статус единой теплоснабжающей организации присвоен в соответствии с пунктом 11 Правил. Заявление о прекращении функций единой теплоснабжающей организации может быть подано до 1 августа текущего года.</w:t>
      </w:r>
    </w:p>
    <w:p>
      <w:pPr>
        <w:pStyle w:val="Normal"/>
        <w:rPr>
          <w:rFonts w:cs="Arial"/>
          <w:szCs w:val="26"/>
          <w:highlight w:val="white"/>
          <w:lang w:val="ru-RU"/>
        </w:rPr>
      </w:pPr>
      <w:r>
        <w:rPr>
          <w:rFonts w:cs="Arial"/>
          <w:szCs w:val="26"/>
          <w:shd w:fill="FFFFFF" w:val="clear"/>
          <w:lang w:val="ru-RU"/>
        </w:rPr>
        <w:t>14. 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предусмотренным абзацем вторым пункта 13 Правил,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 в случаях, предусмотренных абзацами третьим — седьмым пункта 13 Правил.</w:t>
      </w:r>
    </w:p>
    <w:p>
      <w:pPr>
        <w:pStyle w:val="Normal"/>
        <w:rPr>
          <w:rFonts w:cs="Arial"/>
          <w:szCs w:val="26"/>
          <w:highlight w:val="white"/>
          <w:lang w:val="ru-RU"/>
        </w:rPr>
      </w:pPr>
      <w:r>
        <w:rPr>
          <w:rFonts w:cs="Arial"/>
          <w:szCs w:val="26"/>
          <w:shd w:fill="FFFFFF" w:val="clear"/>
          <w:lang w:val="ru-RU"/>
        </w:rPr>
        <w:t>15. 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 организациям подать заявку о присвоении им статуса единой теплоснабжающей организации.</w:t>
      </w:r>
    </w:p>
    <w:p>
      <w:pPr>
        <w:pStyle w:val="Normal"/>
        <w:rPr>
          <w:rFonts w:cs="Arial"/>
          <w:szCs w:val="26"/>
          <w:highlight w:val="white"/>
          <w:lang w:val="ru-RU"/>
        </w:rPr>
      </w:pPr>
      <w:r>
        <w:rPr>
          <w:rFonts w:cs="Arial"/>
          <w:szCs w:val="26"/>
          <w:shd w:fill="FFFFFF" w:val="clear"/>
          <w:lang w:val="ru-RU"/>
        </w:rPr>
        <w:t>Подача заявления заинтересованными организациями и определение единой теплоснабжающей организации осуществляется в порядке, установленном в пунктах 5 — 11 Правил.</w:t>
      </w:r>
    </w:p>
    <w:p>
      <w:pPr>
        <w:pStyle w:val="Normal"/>
        <w:rPr>
          <w:rFonts w:cs="Arial"/>
          <w:szCs w:val="26"/>
          <w:highlight w:val="white"/>
          <w:lang w:val="ru-RU"/>
        </w:rPr>
      </w:pPr>
      <w:r>
        <w:rPr>
          <w:rFonts w:cs="Arial"/>
          <w:szCs w:val="26"/>
          <w:shd w:fill="FFFFFF" w:val="clear"/>
          <w:lang w:val="ru-RU"/>
        </w:rPr>
        <w:t>16. Организация, утратившая статус единой теплоснабжающей организации по основаниям, предусмотренным пунктом 13 Правил, обязана исполнять функции единой теплоснабжающей организации до присвоения другой организации статуса единой теплоснабжающей организации в порядке, предусмотренном пунктами 5 — 11 Правил,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pPr>
        <w:pStyle w:val="Normal"/>
        <w:rPr>
          <w:rFonts w:cs="Arial"/>
          <w:szCs w:val="26"/>
          <w:highlight w:val="white"/>
          <w:lang w:val="ru-RU"/>
        </w:rPr>
      </w:pPr>
      <w:r>
        <w:rPr>
          <w:rFonts w:cs="Arial"/>
          <w:szCs w:val="26"/>
          <w:shd w:fill="FFFFFF" w:val="clear"/>
          <w:lang w:val="ru-RU"/>
        </w:rPr>
        <w:t>17. Границы зоны деятельности единой теплоснабжающей организации могут быть изменены в следующих случаях:</w:t>
      </w:r>
    </w:p>
    <w:p>
      <w:pPr>
        <w:pStyle w:val="Normal"/>
        <w:spacing w:before="0" w:after="0"/>
        <w:contextualSpacing/>
        <w:rPr>
          <w:rFonts w:cs="Arial"/>
          <w:szCs w:val="26"/>
          <w:highlight w:val="white"/>
          <w:lang w:val="ru-RU" w:eastAsia="zh-CN"/>
        </w:rPr>
      </w:pPr>
      <w:r>
        <w:rPr>
          <w:rFonts w:cs="Arial"/>
          <w:szCs w:val="26"/>
          <w:shd w:fill="FFFFFF" w:val="clear"/>
          <w:lang w:val="ru-RU" w:eastAsia="zh-CN"/>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pPr>
        <w:pStyle w:val="Normal"/>
        <w:spacing w:before="0" w:after="0"/>
        <w:contextualSpacing/>
        <w:rPr>
          <w:rFonts w:cs="Arial"/>
          <w:szCs w:val="26"/>
          <w:highlight w:val="white"/>
          <w:lang w:val="ru-RU" w:eastAsia="zh-CN"/>
        </w:rPr>
      </w:pPr>
      <w:r>
        <w:rPr>
          <w:rFonts w:cs="Arial"/>
          <w:szCs w:val="26"/>
          <w:shd w:fill="FFFFFF" w:val="clear"/>
          <w:lang w:val="ru-RU" w:eastAsia="zh-CN"/>
        </w:rPr>
        <w:t>технологическое объединение или разделение систем теплоснабжения.</w:t>
      </w:r>
    </w:p>
    <w:p>
      <w:pPr>
        <w:pStyle w:val="Normal"/>
        <w:rPr>
          <w:rFonts w:cs="Arial"/>
          <w:szCs w:val="26"/>
          <w:highlight w:val="white"/>
          <w:lang w:val="ru-RU"/>
        </w:rPr>
      </w:pPr>
      <w:r>
        <w:rPr>
          <w:rFonts w:cs="Arial"/>
          <w:szCs w:val="26"/>
          <w:lang w:val="ru-RU"/>
        </w:rPr>
        <w:t>Сведения об изменении границ зон деятельности единой теплоснабжающей орг</w:t>
      </w:r>
      <w:r>
        <w:rPr>
          <w:rFonts w:cs="Arial"/>
          <w:szCs w:val="26"/>
          <w:shd w:fill="FFFFFF" w:val="clear"/>
          <w:lang w:val="ru-RU"/>
        </w:rPr>
        <w:t>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pPr>
        <w:pStyle w:val="Normal"/>
        <w:rPr>
          <w:rFonts w:cs="Arial"/>
          <w:szCs w:val="26"/>
          <w:highlight w:val="white"/>
          <w:lang w:val="ru-RU"/>
        </w:rPr>
      </w:pPr>
      <w:r>
        <w:rPr>
          <w:rFonts w:cs="Arial"/>
          <w:szCs w:val="26"/>
          <w:lang w:val="ru-RU"/>
        </w:rPr>
        <w:t>Исходя из указанных выше статей Федерального закона от</w:t>
      </w:r>
      <w:r>
        <w:rPr>
          <w:rFonts w:cs="Arial"/>
          <w:szCs w:val="26"/>
        </w:rPr>
        <w:t> </w:t>
      </w:r>
      <w:r>
        <w:rPr>
          <w:rFonts w:cs="Arial"/>
          <w:szCs w:val="26"/>
          <w:lang w:val="ru-RU"/>
        </w:rPr>
        <w:t>27.07.2010 №</w:t>
      </w:r>
      <w:r>
        <w:rPr>
          <w:rFonts w:cs="Arial"/>
          <w:szCs w:val="26"/>
        </w:rPr>
        <w:t> </w:t>
      </w:r>
      <w:r>
        <w:rPr>
          <w:rFonts w:cs="Arial"/>
          <w:szCs w:val="26"/>
          <w:shd w:fill="FFFFFF" w:val="clear"/>
          <w:lang w:val="ru-RU"/>
        </w:rPr>
        <w:t>190-ФЗ</w:t>
      </w:r>
      <w:r>
        <w:rPr>
          <w:rFonts w:cs="Arial"/>
          <w:szCs w:val="26"/>
          <w:lang w:val="ru-RU"/>
        </w:rPr>
        <w:t xml:space="preserve"> «О теплоснабжении» </w:t>
      </w:r>
      <w:r>
        <w:rPr>
          <w:rFonts w:cs="Arial"/>
          <w:szCs w:val="26"/>
          <w:shd w:fill="FFFFFF" w:val="clear"/>
          <w:lang w:val="ru-RU"/>
        </w:rPr>
        <w:t>органам местного самоуправления Уватского муниципального необходимо принять решение о присвоении статуса единых теплоснабжающих организаций в границах Туртасского сельского поселения:</w:t>
      </w:r>
    </w:p>
    <w:p>
      <w:pPr>
        <w:pStyle w:val="Normal"/>
        <w:numPr>
          <w:ilvl w:val="0"/>
          <w:numId w:val="3"/>
        </w:numPr>
        <w:suppressAutoHyphens w:val="true"/>
        <w:textAlignment w:val="baseline"/>
        <w:rPr>
          <w:rFonts w:cs="Arial"/>
          <w:szCs w:val="26"/>
          <w:highlight w:val="white"/>
          <w:lang w:val="ru-RU" w:eastAsia="zh-CN"/>
        </w:rPr>
      </w:pPr>
      <w:r>
        <w:rPr>
          <w:rFonts w:cs="Arial"/>
          <w:szCs w:val="26"/>
          <w:shd w:fill="FFFFFF" w:val="clear"/>
          <w:lang w:val="ru-RU" w:eastAsia="zh-CN"/>
        </w:rPr>
        <w:t>МП «Туртасское КП» в границах действия следующих котельных:</w:t>
      </w:r>
    </w:p>
    <w:p>
      <w:pPr>
        <w:pStyle w:val="Normal"/>
        <w:spacing w:before="0" w:after="0"/>
        <w:contextualSpacing/>
        <w:rPr>
          <w:rFonts w:cs="Arial"/>
          <w:szCs w:val="26"/>
          <w:highlight w:val="white"/>
          <w:lang w:val="ru-RU"/>
        </w:rPr>
      </w:pPr>
      <w:r>
        <w:rPr>
          <w:rFonts w:cs="Arial"/>
          <w:szCs w:val="26"/>
          <w:shd w:fill="FFFFFF" w:val="clear"/>
          <w:lang w:val="ru-RU"/>
        </w:rPr>
        <w:t>котельная №</w:t>
      </w:r>
      <w:r>
        <w:rPr>
          <w:rFonts w:cs="Arial"/>
          <w:szCs w:val="26"/>
          <w:shd w:fill="FFFFFF" w:val="clear"/>
        </w:rPr>
        <w:t> </w:t>
      </w:r>
      <w:r>
        <w:rPr>
          <w:rFonts w:cs="Arial"/>
          <w:szCs w:val="26"/>
          <w:shd w:fill="FFFFFF" w:val="clear"/>
          <w:lang w:val="ru-RU"/>
        </w:rPr>
        <w:t>1 ул.</w:t>
      </w:r>
      <w:r>
        <w:rPr>
          <w:rFonts w:cs="Arial"/>
          <w:szCs w:val="26"/>
          <w:shd w:fill="FFFFFF" w:val="clear"/>
        </w:rPr>
        <w:t> </w:t>
      </w:r>
      <w:r>
        <w:rPr>
          <w:rFonts w:cs="Arial"/>
          <w:szCs w:val="26"/>
          <w:shd w:fill="FFFFFF" w:val="clear"/>
          <w:lang w:val="ru-RU"/>
        </w:rPr>
        <w:t xml:space="preserve">Октябрьская; </w:t>
      </w:r>
    </w:p>
    <w:p>
      <w:pPr>
        <w:pStyle w:val="Normal"/>
        <w:spacing w:before="0" w:after="0"/>
        <w:contextualSpacing/>
        <w:rPr>
          <w:rFonts w:cs="Arial"/>
          <w:szCs w:val="26"/>
          <w:highlight w:val="white"/>
          <w:lang w:val="ru-RU" w:eastAsia="zh-CN"/>
        </w:rPr>
      </w:pPr>
      <w:r>
        <w:rPr>
          <w:rFonts w:cs="Arial"/>
          <w:szCs w:val="26"/>
          <w:shd w:fill="FFFFFF" w:val="clear"/>
          <w:lang w:val="ru-RU" w:eastAsia="zh-CN"/>
        </w:rPr>
        <w:t xml:space="preserve">котельная № 2 ул. Молодежная; </w:t>
      </w:r>
    </w:p>
    <w:p>
      <w:pPr>
        <w:pStyle w:val="Normal"/>
        <w:spacing w:before="0" w:after="0"/>
        <w:contextualSpacing/>
        <w:rPr>
          <w:rFonts w:cs="Arial"/>
          <w:szCs w:val="26"/>
          <w:highlight w:val="white"/>
          <w:lang w:val="ru-RU" w:eastAsia="zh-CN"/>
        </w:rPr>
      </w:pPr>
      <w:r>
        <w:rPr>
          <w:rFonts w:cs="Arial"/>
          <w:szCs w:val="26"/>
          <w:shd w:fill="FFFFFF" w:val="clear"/>
          <w:lang w:val="ru-RU" w:eastAsia="zh-CN"/>
        </w:rPr>
        <w:t xml:space="preserve">котельная № 4 ул. Солнечная; </w:t>
      </w:r>
    </w:p>
    <w:p>
      <w:pPr>
        <w:pStyle w:val="Normal"/>
        <w:spacing w:before="0" w:after="0"/>
        <w:contextualSpacing/>
        <w:rPr>
          <w:rFonts w:cs="Arial"/>
          <w:szCs w:val="26"/>
          <w:highlight w:val="white"/>
          <w:lang w:val="ru-RU" w:eastAsia="zh-CN"/>
        </w:rPr>
      </w:pPr>
      <w:r>
        <w:rPr>
          <w:rFonts w:cs="Arial"/>
          <w:szCs w:val="26"/>
          <w:shd w:fill="FFFFFF" w:val="clear"/>
          <w:lang w:val="ru-RU" w:eastAsia="zh-CN"/>
        </w:rPr>
        <w:t xml:space="preserve">котельная № 5 ст. Юность Комсомольская; </w:t>
      </w:r>
    </w:p>
    <w:p>
      <w:pPr>
        <w:pStyle w:val="Normal"/>
        <w:spacing w:before="0" w:after="0"/>
        <w:contextualSpacing/>
        <w:rPr>
          <w:rFonts w:cs="Arial"/>
          <w:szCs w:val="26"/>
          <w:highlight w:val="white"/>
          <w:lang w:val="ru-RU" w:eastAsia="zh-CN"/>
        </w:rPr>
      </w:pPr>
      <w:r>
        <w:rPr>
          <w:rFonts w:cs="Arial"/>
          <w:szCs w:val="26"/>
          <w:shd w:fill="FFFFFF" w:val="clear"/>
          <w:lang w:val="ru-RU" w:eastAsia="zh-CN"/>
        </w:rPr>
        <w:t xml:space="preserve">котельная № 6 Промбаза; </w:t>
      </w:r>
    </w:p>
    <w:p>
      <w:pPr>
        <w:pStyle w:val="Normal"/>
        <w:spacing w:before="0" w:after="0"/>
        <w:contextualSpacing/>
        <w:rPr>
          <w:rFonts w:cs="Arial"/>
          <w:szCs w:val="26"/>
          <w:highlight w:val="white"/>
          <w:lang w:val="ru-RU" w:eastAsia="zh-CN"/>
        </w:rPr>
      </w:pPr>
      <w:r>
        <w:rPr>
          <w:rFonts w:cs="Arial"/>
          <w:szCs w:val="26"/>
          <w:shd w:fill="FFFFFF" w:val="clear"/>
          <w:lang w:val="ru-RU" w:eastAsia="zh-CN"/>
        </w:rPr>
        <w:t>котельная № 7 КОС).</w:t>
      </w:r>
    </w:p>
    <w:p>
      <w:pPr>
        <w:pStyle w:val="Normal"/>
        <w:numPr>
          <w:ilvl w:val="0"/>
          <w:numId w:val="3"/>
        </w:numPr>
        <w:spacing w:before="0" w:after="0"/>
        <w:contextualSpacing/>
        <w:rPr>
          <w:rFonts w:cs="Arial"/>
          <w:szCs w:val="26"/>
          <w:highlight w:val="white"/>
          <w:lang w:val="ru-RU" w:eastAsia="zh-CN"/>
        </w:rPr>
      </w:pPr>
      <w:r>
        <w:rPr>
          <w:rFonts w:cs="Arial"/>
          <w:szCs w:val="26"/>
          <w:shd w:fill="FFFFFF" w:val="clear"/>
          <w:lang w:val="ru-RU" w:eastAsia="zh-CN"/>
        </w:rPr>
        <w:t>МП «Туртасское КП» в границах действия следующей котельной:</w:t>
      </w:r>
    </w:p>
    <w:p>
      <w:pPr>
        <w:pStyle w:val="Normal"/>
        <w:tabs>
          <w:tab w:val="left" w:pos="3261" w:leader="none"/>
        </w:tabs>
        <w:spacing w:before="0" w:after="0"/>
        <w:contextualSpacing/>
        <w:rPr>
          <w:rFonts w:cs="Arial"/>
          <w:szCs w:val="26"/>
          <w:lang w:val="ru-RU"/>
        </w:rPr>
      </w:pPr>
      <w:r>
        <w:rPr>
          <w:rFonts w:cs="Arial"/>
          <w:szCs w:val="26"/>
          <w:shd w:fill="FFFFFF" w:val="clear"/>
          <w:lang w:val="ru-RU"/>
        </w:rPr>
        <w:t>котельная ООО</w:t>
      </w:r>
      <w:r>
        <w:rPr>
          <w:rFonts w:cs="Arial"/>
          <w:szCs w:val="26"/>
          <w:shd w:fill="FFFFFF" w:val="clear"/>
        </w:rPr>
        <w:t> </w:t>
      </w:r>
      <w:r>
        <w:rPr>
          <w:rFonts w:cs="Arial"/>
          <w:szCs w:val="26"/>
          <w:shd w:fill="FFFFFF" w:val="clear"/>
          <w:lang w:val="ru-RU"/>
        </w:rPr>
        <w:t>«Газпрос Энерго».</w:t>
      </w:r>
    </w:p>
    <w:p>
      <w:pPr>
        <w:pStyle w:val="Normal"/>
        <w:tabs>
          <w:tab w:val="left" w:pos="3261" w:leader="none"/>
        </w:tabs>
        <w:suppressAutoHyphens w:val="true"/>
        <w:ind w:hanging="0"/>
        <w:textAlignment w:val="baseline"/>
        <w:rPr>
          <w:rFonts w:cs="Arial"/>
          <w:szCs w:val="26"/>
          <w:lang w:val="ru-RU" w:eastAsia="zh-CN"/>
        </w:rPr>
      </w:pPr>
      <w:r>
        <w:rPr>
          <w:rFonts w:cs="Arial"/>
          <w:szCs w:val="26"/>
          <w:lang w:val="ru-RU" w:eastAsia="zh-CN"/>
        </w:rPr>
      </w:r>
    </w:p>
    <w:p>
      <w:pPr>
        <w:pStyle w:val="Normal"/>
        <w:numPr>
          <w:ilvl w:val="0"/>
          <w:numId w:val="0"/>
        </w:numPr>
        <w:spacing w:before="0" w:after="0"/>
        <w:ind w:hanging="0"/>
        <w:contextualSpacing/>
        <w:jc w:val="center"/>
        <w:outlineLvl w:val="0"/>
        <w:rPr>
          <w:rFonts w:cs="Arial"/>
          <w:b/>
          <w:b/>
          <w:szCs w:val="26"/>
          <w:lang w:val="ru-RU" w:eastAsia="ru-RU"/>
        </w:rPr>
      </w:pPr>
      <w:r>
        <w:rPr>
          <w:rFonts w:cs="Arial"/>
          <w:b/>
          <w:szCs w:val="26"/>
          <w:lang w:val="ru-RU" w:eastAsia="ru-RU"/>
        </w:rPr>
      </w:r>
    </w:p>
    <w:p>
      <w:pPr>
        <w:pStyle w:val="Normal"/>
        <w:numPr>
          <w:ilvl w:val="0"/>
          <w:numId w:val="0"/>
        </w:numPr>
        <w:spacing w:before="0" w:after="0"/>
        <w:ind w:hanging="0"/>
        <w:contextualSpacing/>
        <w:jc w:val="center"/>
        <w:outlineLvl w:val="0"/>
        <w:rPr>
          <w:rFonts w:cs="Arial"/>
          <w:b/>
          <w:b/>
          <w:szCs w:val="26"/>
          <w:lang w:val="ru-RU" w:eastAsia="ru-RU"/>
        </w:rPr>
      </w:pPr>
      <w:bookmarkStart w:id="76" w:name="_Toc398022691"/>
      <w:bookmarkEnd w:id="76"/>
      <w:r>
        <w:rPr>
          <w:rFonts w:cs="Arial"/>
          <w:b/>
          <w:szCs w:val="26"/>
          <w:lang w:val="ru-RU" w:eastAsia="ru-RU"/>
        </w:rPr>
        <w:t>9. Решение о распределении тепловой нагрузки между источниками тепловой энергии</w:t>
      </w:r>
    </w:p>
    <w:p>
      <w:pPr>
        <w:pStyle w:val="Normal"/>
        <w:rPr>
          <w:lang w:val="ru-RU"/>
        </w:rPr>
      </w:pPr>
      <w:r>
        <w:rPr>
          <w:rFonts w:cs="Arial"/>
          <w:szCs w:val="26"/>
          <w:lang w:val="ru-RU"/>
        </w:rPr>
        <w:t xml:space="preserve">Распределение тепловой нагрузки между источниками в Туртасском сельском поселении приведено в </w:t>
      </w:r>
    </w:p>
    <w:p>
      <w:pPr>
        <w:pStyle w:val="Normal"/>
        <w:suppressLineNumbers/>
        <w:suppressAutoHyphens w:val="true"/>
        <w:jc w:val="right"/>
        <w:textAlignment w:val="baseline"/>
        <w:rPr/>
      </w:pPr>
      <w:r>
        <w:rPr/>
      </w:r>
    </w:p>
    <w:p>
      <w:pPr>
        <w:pStyle w:val="Normal"/>
        <w:rPr>
          <w:lang w:val="ru-RU"/>
        </w:rPr>
      </w:pPr>
      <w:r>
        <w:rPr/>
        <w:fldChar w:fldCharType="begin"/>
      </w:r>
      <w:r>
        <w:instrText> REF _Ref392679855 \h </w:instrText>
      </w:r>
      <w:r>
        <w:fldChar w:fldCharType="separate"/>
      </w:r>
      <w:r/>
      <w:r>
        <w:fldChar w:fldCharType="end"/>
      </w:r>
      <w:r>
        <w:rPr>
          <w:rFonts w:cs="Arial"/>
          <w:szCs w:val="26"/>
          <w:lang w:val="ru-RU"/>
        </w:rPr>
        <w:t>.</w:t>
      </w:r>
    </w:p>
    <w:p>
      <w:pPr>
        <w:pStyle w:val="Normal"/>
        <w:suppressLineNumbers/>
        <w:suppressAutoHyphens w:val="true"/>
        <w:jc w:val="right"/>
        <w:textAlignment w:val="baseline"/>
        <w:rPr>
          <w:rFonts w:cs="Arial"/>
          <w:iCs/>
          <w:szCs w:val="26"/>
          <w:lang w:val="ru-RU" w:eastAsia="zh-CN"/>
        </w:rPr>
      </w:pPr>
      <w:bookmarkStart w:id="77" w:name="_Ref392679855"/>
      <w:bookmarkStart w:id="78" w:name="_Ref392679855"/>
      <w:r>
        <w:rPr>
          <w:rFonts w:cs="Arial"/>
          <w:iCs/>
          <w:szCs w:val="26"/>
          <w:lang w:val="ru-RU" w:eastAsia="zh-CN"/>
        </w:rPr>
      </w:r>
    </w:p>
    <w:p>
      <w:pPr>
        <w:pStyle w:val="Normal"/>
        <w:suppressLineNumbers/>
        <w:suppressAutoHyphens w:val="true"/>
        <w:jc w:val="right"/>
        <w:textAlignment w:val="baseline"/>
        <w:rPr/>
      </w:pPr>
      <w:r>
        <w:rPr>
          <w:rFonts w:cs="Arial"/>
          <w:iCs/>
          <w:szCs w:val="26"/>
          <w:lang w:val="ru-RU" w:eastAsia="zh-CN"/>
        </w:rPr>
        <w:t xml:space="preserve">Таблица </w:t>
      </w:r>
      <w:r>
        <w:rPr>
          <w:rFonts w:cs="Arial"/>
          <w:iCs/>
          <w:szCs w:val="26"/>
          <w:lang w:val="ru-RU" w:eastAsia="zh-CN"/>
        </w:rPr>
        <w:fldChar w:fldCharType="begin"/>
      </w:r>
      <w:r>
        <w:instrText> SEQ Таблица \* ARABIC </w:instrText>
      </w:r>
      <w:r>
        <w:fldChar w:fldCharType="separate"/>
      </w:r>
      <w:r>
        <w:t>24</w:t>
      </w:r>
      <w:r>
        <w:fldChar w:fldCharType="end"/>
      </w:r>
      <w:bookmarkEnd w:id="78"/>
      <w:r>
        <w:rPr>
          <w:rFonts w:cs="Arial"/>
          <w:iCs/>
          <w:szCs w:val="26"/>
          <w:lang w:val="ru-RU" w:eastAsia="zh-CN"/>
        </w:rPr>
        <w:t xml:space="preserve"> – Распределение тепловой </w:t>
      </w:r>
    </w:p>
    <w:p>
      <w:pPr>
        <w:pStyle w:val="Normal"/>
        <w:suppressLineNumbers/>
        <w:suppressAutoHyphens w:val="true"/>
        <w:jc w:val="right"/>
        <w:textAlignment w:val="baseline"/>
        <w:rPr>
          <w:rFonts w:cs="Arial"/>
          <w:iCs/>
          <w:szCs w:val="26"/>
          <w:lang w:val="ru-RU" w:eastAsia="zh-CN"/>
        </w:rPr>
      </w:pPr>
      <w:r>
        <w:rPr>
          <w:rFonts w:cs="Arial"/>
          <w:iCs/>
          <w:szCs w:val="26"/>
          <w:lang w:val="ru-RU" w:eastAsia="zh-CN"/>
        </w:rPr>
        <w:t>нагрузки между источниками (ООО «Сибиряк»)</w:t>
      </w:r>
    </w:p>
    <w:tbl>
      <w:tblPr>
        <w:tblW w:w="5000" w:type="pct"/>
        <w:jc w:val="lef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val="04a0"/>
      </w:tblPr>
      <w:tblGrid>
        <w:gridCol w:w="478"/>
        <w:gridCol w:w="2334"/>
        <w:gridCol w:w="2530"/>
        <w:gridCol w:w="2126"/>
        <w:gridCol w:w="1886"/>
      </w:tblGrid>
      <w:tr>
        <w:trPr>
          <w:trHeight w:val="765" w:hRule="atLeast"/>
        </w:trPr>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Cs/>
                <w:sz w:val="20"/>
                <w:szCs w:val="20"/>
              </w:rPr>
            </w:pPr>
            <w:r>
              <w:rPr>
                <w:rFonts w:cs="Arial"/>
                <w:bCs/>
                <w:sz w:val="20"/>
                <w:szCs w:val="20"/>
              </w:rPr>
              <w:t xml:space="preserve">№ </w:t>
            </w:r>
            <w:r>
              <w:rPr>
                <w:rFonts w:cs="Arial"/>
                <w:bCs/>
                <w:sz w:val="20"/>
                <w:szCs w:val="20"/>
              </w:rPr>
              <w:t>п/п</w:t>
            </w:r>
          </w:p>
        </w:tc>
        <w:tc>
          <w:tcPr>
            <w:tcW w:w="2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Cs/>
                <w:sz w:val="20"/>
                <w:szCs w:val="20"/>
              </w:rPr>
            </w:pPr>
            <w:r>
              <w:rPr>
                <w:rFonts w:cs="Arial"/>
                <w:bCs/>
                <w:sz w:val="20"/>
                <w:szCs w:val="20"/>
              </w:rPr>
              <w:t>Название котельной</w:t>
            </w:r>
          </w:p>
        </w:tc>
        <w:tc>
          <w:tcPr>
            <w:tcW w:w="2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Cs/>
                <w:sz w:val="20"/>
                <w:szCs w:val="20"/>
                <w:lang w:val="ru-RU"/>
              </w:rPr>
            </w:pPr>
            <w:r>
              <w:rPr>
                <w:rFonts w:cs="Arial"/>
                <w:bCs/>
                <w:sz w:val="20"/>
                <w:szCs w:val="20"/>
                <w:lang w:val="ru-RU"/>
              </w:rPr>
              <w:t>Проектная (установленная) мощность котельной, Гкал/ч</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Cs/>
                <w:sz w:val="20"/>
                <w:szCs w:val="20"/>
                <w:lang w:val="ru-RU"/>
              </w:rPr>
            </w:pPr>
            <w:r>
              <w:rPr>
                <w:rFonts w:cs="Arial"/>
                <w:bCs/>
                <w:sz w:val="20"/>
                <w:szCs w:val="20"/>
                <w:lang w:val="ru-RU"/>
              </w:rPr>
              <w:t>Располагаемая мощность котельной, Гкал/ч</w:t>
            </w:r>
          </w:p>
        </w:tc>
        <w:tc>
          <w:tcPr>
            <w:tcW w:w="1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bCs/>
                <w:sz w:val="20"/>
                <w:szCs w:val="20"/>
                <w:lang w:val="ru-RU"/>
              </w:rPr>
            </w:pPr>
            <w:r>
              <w:rPr>
                <w:rFonts w:cs="Arial"/>
                <w:bCs/>
                <w:sz w:val="20"/>
                <w:szCs w:val="20"/>
                <w:lang w:val="ru-RU"/>
              </w:rPr>
              <w:t>Тепловая нагрузка потребителей, Гкал/ч</w:t>
            </w:r>
          </w:p>
        </w:tc>
      </w:tr>
      <w:tr>
        <w:trPr>
          <w:trHeight w:val="225" w:hRule="atLeast"/>
        </w:trPr>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sz w:val="20"/>
                <w:szCs w:val="20"/>
              </w:rPr>
            </w:pPr>
            <w:r>
              <w:rPr>
                <w:rFonts w:cs="Arial"/>
                <w:sz w:val="20"/>
                <w:szCs w:val="20"/>
              </w:rPr>
              <w:t>1</w:t>
            </w:r>
          </w:p>
        </w:tc>
        <w:tc>
          <w:tcPr>
            <w:tcW w:w="2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№1, ул. Октябрьская</w:t>
            </w:r>
          </w:p>
        </w:tc>
        <w:tc>
          <w:tcPr>
            <w:tcW w:w="2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7.38</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5.51</w:t>
            </w:r>
          </w:p>
        </w:tc>
        <w:tc>
          <w:tcPr>
            <w:tcW w:w="1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4,935</w:t>
            </w:r>
          </w:p>
        </w:tc>
      </w:tr>
      <w:tr>
        <w:trPr>
          <w:trHeight w:val="450" w:hRule="atLeast"/>
        </w:trPr>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sz w:val="20"/>
                <w:szCs w:val="20"/>
              </w:rPr>
            </w:pPr>
            <w:r>
              <w:rPr>
                <w:rFonts w:cs="Arial"/>
                <w:sz w:val="20"/>
                <w:szCs w:val="20"/>
              </w:rPr>
              <w:t>2</w:t>
            </w:r>
          </w:p>
        </w:tc>
        <w:tc>
          <w:tcPr>
            <w:tcW w:w="2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№2,</w:t>
            </w:r>
            <w:r>
              <w:rPr>
                <w:rFonts w:cs="Arial"/>
                <w:sz w:val="20"/>
                <w:szCs w:val="20"/>
              </w:rPr>
              <w:t xml:space="preserve"> </w:t>
            </w:r>
            <w:r>
              <w:rPr>
                <w:rFonts w:cs="Arial"/>
                <w:color w:val="000000"/>
                <w:sz w:val="20"/>
                <w:szCs w:val="20"/>
              </w:rPr>
              <w:t xml:space="preserve">ул. Молодежная </w:t>
            </w:r>
          </w:p>
        </w:tc>
        <w:tc>
          <w:tcPr>
            <w:tcW w:w="2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0.20</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0.06</w:t>
            </w:r>
          </w:p>
        </w:tc>
        <w:tc>
          <w:tcPr>
            <w:tcW w:w="1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0.06</w:t>
            </w:r>
          </w:p>
        </w:tc>
      </w:tr>
      <w:tr>
        <w:trPr>
          <w:trHeight w:val="225" w:hRule="atLeast"/>
        </w:trPr>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sz w:val="20"/>
                <w:szCs w:val="20"/>
              </w:rPr>
            </w:pPr>
            <w:r>
              <w:rPr>
                <w:rFonts w:cs="Arial"/>
                <w:sz w:val="20"/>
                <w:szCs w:val="20"/>
              </w:rPr>
              <w:t>3</w:t>
            </w:r>
          </w:p>
        </w:tc>
        <w:tc>
          <w:tcPr>
            <w:tcW w:w="2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№4,</w:t>
            </w:r>
            <w:r>
              <w:rPr>
                <w:rFonts w:cs="Arial"/>
                <w:sz w:val="20"/>
                <w:szCs w:val="20"/>
              </w:rPr>
              <w:t xml:space="preserve"> </w:t>
            </w:r>
            <w:r>
              <w:rPr>
                <w:rFonts w:cs="Arial"/>
                <w:color w:val="000000"/>
                <w:sz w:val="20"/>
                <w:szCs w:val="20"/>
              </w:rPr>
              <w:t xml:space="preserve">ул. Солнечная </w:t>
            </w:r>
          </w:p>
        </w:tc>
        <w:tc>
          <w:tcPr>
            <w:tcW w:w="2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0.13</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0.10</w:t>
            </w:r>
          </w:p>
        </w:tc>
        <w:tc>
          <w:tcPr>
            <w:tcW w:w="1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0.10</w:t>
            </w:r>
          </w:p>
        </w:tc>
      </w:tr>
      <w:tr>
        <w:trPr>
          <w:trHeight w:val="225" w:hRule="atLeast"/>
        </w:trPr>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sz w:val="20"/>
                <w:szCs w:val="20"/>
              </w:rPr>
            </w:pPr>
            <w:r>
              <w:rPr>
                <w:rFonts w:cs="Arial"/>
                <w:sz w:val="20"/>
                <w:szCs w:val="20"/>
              </w:rPr>
              <w:t>4</w:t>
            </w:r>
          </w:p>
        </w:tc>
        <w:tc>
          <w:tcPr>
            <w:tcW w:w="2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№5, ст. Юность Комсомольская</w:t>
            </w:r>
          </w:p>
        </w:tc>
        <w:tc>
          <w:tcPr>
            <w:tcW w:w="2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5.01</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1.59</w:t>
            </w:r>
          </w:p>
        </w:tc>
        <w:tc>
          <w:tcPr>
            <w:tcW w:w="1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1.59</w:t>
            </w:r>
          </w:p>
        </w:tc>
      </w:tr>
      <w:tr>
        <w:trPr>
          <w:trHeight w:val="225" w:hRule="atLeast"/>
        </w:trPr>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sz w:val="20"/>
                <w:szCs w:val="20"/>
              </w:rPr>
            </w:pPr>
            <w:r>
              <w:rPr>
                <w:rFonts w:cs="Arial"/>
                <w:sz w:val="20"/>
                <w:szCs w:val="20"/>
              </w:rPr>
              <w:t>5</w:t>
            </w:r>
          </w:p>
        </w:tc>
        <w:tc>
          <w:tcPr>
            <w:tcW w:w="2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№6, Промбаза</w:t>
            </w:r>
          </w:p>
        </w:tc>
        <w:tc>
          <w:tcPr>
            <w:tcW w:w="2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1.46</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0.45</w:t>
            </w:r>
          </w:p>
        </w:tc>
        <w:tc>
          <w:tcPr>
            <w:tcW w:w="1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0.45</w:t>
            </w:r>
          </w:p>
        </w:tc>
      </w:tr>
      <w:tr>
        <w:trPr>
          <w:trHeight w:val="225" w:hRule="atLeast"/>
        </w:trPr>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sz w:val="20"/>
                <w:szCs w:val="20"/>
              </w:rPr>
            </w:pPr>
            <w:r>
              <w:rPr>
                <w:rFonts w:cs="Arial"/>
                <w:sz w:val="20"/>
                <w:szCs w:val="20"/>
              </w:rPr>
              <w:t>6</w:t>
            </w:r>
          </w:p>
        </w:tc>
        <w:tc>
          <w:tcPr>
            <w:tcW w:w="2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№7, КОС</w:t>
            </w:r>
          </w:p>
        </w:tc>
        <w:tc>
          <w:tcPr>
            <w:tcW w:w="2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0.73</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0.04</w:t>
            </w:r>
          </w:p>
        </w:tc>
        <w:tc>
          <w:tcPr>
            <w:tcW w:w="1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0.04</w:t>
            </w:r>
          </w:p>
        </w:tc>
      </w:tr>
      <w:tr>
        <w:trPr>
          <w:trHeight w:val="225" w:hRule="atLeast"/>
        </w:trPr>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sz w:val="20"/>
                <w:szCs w:val="20"/>
              </w:rPr>
            </w:pPr>
            <w:r>
              <w:rPr>
                <w:rFonts w:cs="Arial"/>
                <w:sz w:val="20"/>
                <w:szCs w:val="20"/>
              </w:rPr>
              <w:t>7</w:t>
            </w:r>
          </w:p>
        </w:tc>
        <w:tc>
          <w:tcPr>
            <w:tcW w:w="2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sz w:val="20"/>
                <w:szCs w:val="20"/>
              </w:rPr>
              <w:t>Котельная ООО «Газпром Энерго»</w:t>
            </w:r>
          </w:p>
        </w:tc>
        <w:tc>
          <w:tcPr>
            <w:tcW w:w="2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6,02</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6,02</w:t>
            </w:r>
          </w:p>
        </w:tc>
        <w:tc>
          <w:tcPr>
            <w:tcW w:w="1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w:t>
            </w:r>
          </w:p>
        </w:tc>
      </w:tr>
      <w:tr>
        <w:trPr>
          <w:trHeight w:val="225" w:hRule="atLeast"/>
        </w:trPr>
        <w:tc>
          <w:tcPr>
            <w:tcW w:w="47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center"/>
              <w:rPr>
                <w:rFonts w:cs="Arial"/>
                <w:sz w:val="20"/>
                <w:szCs w:val="20"/>
              </w:rPr>
            </w:pPr>
            <w:r>
              <w:rPr>
                <w:rFonts w:cs="Arial"/>
                <w:sz w:val="20"/>
                <w:szCs w:val="20"/>
              </w:rPr>
              <w:t>8</w:t>
            </w:r>
          </w:p>
        </w:tc>
        <w:tc>
          <w:tcPr>
            <w:tcW w:w="23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Normal"/>
              <w:ind w:hanging="0"/>
              <w:jc w:val="left"/>
              <w:rPr>
                <w:rFonts w:cs="Arial"/>
                <w:color w:val="000000"/>
                <w:sz w:val="20"/>
                <w:szCs w:val="20"/>
              </w:rPr>
            </w:pPr>
            <w:r>
              <w:rPr>
                <w:rFonts w:cs="Arial"/>
                <w:color w:val="000000"/>
                <w:w w:val="90"/>
                <w:sz w:val="20"/>
                <w:szCs w:val="20"/>
              </w:rPr>
              <w:t>Котельная блочная 0,6 МВт «Больница»</w:t>
            </w:r>
          </w:p>
        </w:tc>
        <w:tc>
          <w:tcPr>
            <w:tcW w:w="253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0,515</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0,515</w:t>
            </w:r>
          </w:p>
        </w:tc>
        <w:tc>
          <w:tcPr>
            <w:tcW w:w="18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ind w:hanging="0"/>
              <w:jc w:val="right"/>
              <w:rPr>
                <w:rFonts w:cs="Arial"/>
                <w:sz w:val="20"/>
                <w:szCs w:val="20"/>
              </w:rPr>
            </w:pPr>
            <w:r>
              <w:rPr>
                <w:rFonts w:cs="Arial"/>
                <w:sz w:val="20"/>
                <w:szCs w:val="20"/>
              </w:rPr>
              <w:t>0,4</w:t>
            </w:r>
          </w:p>
        </w:tc>
      </w:tr>
    </w:tbl>
    <w:p>
      <w:pPr>
        <w:pStyle w:val="Normal"/>
        <w:rPr>
          <w:rFonts w:cs="Arial"/>
          <w:szCs w:val="26"/>
        </w:rPr>
      </w:pPr>
      <w:r>
        <w:rPr>
          <w:rFonts w:cs="Arial"/>
          <w:szCs w:val="26"/>
        </w:rPr>
      </w:r>
    </w:p>
    <w:p>
      <w:pPr>
        <w:pStyle w:val="Normal"/>
        <w:ind w:hanging="0"/>
        <w:rPr>
          <w:rFonts w:cs="Arial"/>
          <w:szCs w:val="26"/>
        </w:rPr>
      </w:pPr>
      <w:r>
        <w:rPr/>
        <w:drawing>
          <wp:inline distT="0" distB="0" distL="0" distR="0">
            <wp:extent cx="5754370" cy="4040505"/>
            <wp:effectExtent l="0" t="0" r="0" b="0"/>
            <wp:docPr id="2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Normal"/>
        <w:suppressLineNumbers/>
        <w:suppressAutoHyphens w:val="true"/>
        <w:textAlignment w:val="baseline"/>
        <w:rPr>
          <w:rFonts w:cs="Arial"/>
          <w:iCs/>
          <w:szCs w:val="26"/>
          <w:lang w:val="ru-RU" w:eastAsia="zh-CN"/>
        </w:rPr>
      </w:pPr>
      <w:r>
        <w:rPr>
          <w:rFonts w:cs="Arial"/>
          <w:iCs/>
          <w:szCs w:val="26"/>
          <w:lang w:val="ru-RU" w:eastAsia="zh-CN"/>
        </w:rPr>
      </w:r>
    </w:p>
    <w:p>
      <w:pPr>
        <w:pStyle w:val="Normal"/>
        <w:suppressLineNumbers/>
        <w:suppressAutoHyphens w:val="true"/>
        <w:jc w:val="center"/>
        <w:textAlignment w:val="baseline"/>
        <w:rPr/>
      </w:pPr>
      <w:r>
        <w:rPr>
          <w:rFonts w:cs="Arial"/>
          <w:iCs/>
          <w:szCs w:val="26"/>
          <w:lang w:val="ru-RU" w:eastAsia="zh-CN"/>
        </w:rPr>
        <w:t xml:space="preserve">Рисунок </w:t>
      </w:r>
      <w:r>
        <w:rPr>
          <w:rFonts w:cs="Arial"/>
          <w:iCs/>
          <w:szCs w:val="26"/>
          <w:lang w:val="ru-RU" w:eastAsia="zh-CN"/>
        </w:rPr>
        <w:fldChar w:fldCharType="begin"/>
      </w:r>
      <w:r>
        <w:instrText> SEQ Рисунок \* ARABIC </w:instrText>
      </w:r>
      <w:r>
        <w:fldChar w:fldCharType="separate"/>
      </w:r>
      <w:r>
        <w:t>15</w:t>
      </w:r>
      <w:r>
        <w:fldChar w:fldCharType="end"/>
      </w:r>
      <w:r>
        <w:rPr>
          <w:rFonts w:cs="Arial"/>
          <w:iCs/>
          <w:szCs w:val="26"/>
          <w:lang w:val="ru-RU" w:eastAsia="zh-CN"/>
        </w:rPr>
        <w:t xml:space="preserve"> – Диаграмма распределение тепловой нагрузки между источниками (ООО «Сибиряк»)</w:t>
      </w:r>
    </w:p>
    <w:p>
      <w:pPr>
        <w:pStyle w:val="Normal"/>
        <w:rPr>
          <w:rFonts w:cs="Arial"/>
          <w:szCs w:val="26"/>
          <w:lang w:val="ru-RU"/>
        </w:rPr>
      </w:pPr>
      <w:r>
        <w:rPr>
          <w:rFonts w:cs="Arial"/>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t>10. Решение по бесхозяйным сетям</w:t>
      </w:r>
    </w:p>
    <w:p>
      <w:pPr>
        <w:pStyle w:val="Normal"/>
        <w:tabs>
          <w:tab w:val="center" w:pos="5031" w:leader="none"/>
        </w:tabs>
        <w:rPr>
          <w:rFonts w:cs="Arial"/>
          <w:szCs w:val="26"/>
          <w:lang w:val="ru-RU"/>
        </w:rPr>
      </w:pPr>
      <w:r>
        <w:rPr>
          <w:rFonts w:cs="Arial"/>
          <w:szCs w:val="26"/>
          <w:lang w:val="ru-RU"/>
        </w:rPr>
      </w:r>
    </w:p>
    <w:p>
      <w:pPr>
        <w:pStyle w:val="Normal"/>
        <w:tabs>
          <w:tab w:val="center" w:pos="5031" w:leader="none"/>
        </w:tabs>
        <w:rPr>
          <w:rFonts w:cs="Arial"/>
          <w:szCs w:val="26"/>
          <w:lang w:val="ru-RU"/>
        </w:rPr>
      </w:pPr>
      <w:r>
        <w:rPr>
          <w:rFonts w:cs="Arial"/>
          <w:szCs w:val="26"/>
          <w:lang w:val="ru-RU"/>
        </w:rPr>
        <w:t>Бесхозные сети не выявлен</w:t>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sectPr>
          <w:footerReference w:type="default" r:id="rId33"/>
          <w:type w:val="nextPage"/>
          <w:pgSz w:w="11906" w:h="16838"/>
          <w:pgMar w:left="1701" w:right="851" w:header="0" w:top="567" w:footer="709" w:bottom="766" w:gutter="0"/>
          <w:pgNumType w:fmt="decimal"/>
          <w:formProt w:val="false"/>
          <w:textDirection w:val="lrTb"/>
          <w:docGrid w:type="default" w:linePitch="240" w:charSpace="4294957055"/>
        </w:sectPr>
        <w:pStyle w:val="Normal"/>
        <w:rPr>
          <w:rFonts w:cs="Arial"/>
          <w:szCs w:val="26"/>
          <w:lang w:val="ru-RU"/>
        </w:rPr>
      </w:pPr>
      <w:r>
        <w:rPr>
          <w:rFonts w:cs="Arial"/>
          <w:szCs w:val="26"/>
          <w:lang w:val="ru-RU"/>
        </w:rPr>
      </w:r>
    </w:p>
    <w:p>
      <w:pPr>
        <w:pStyle w:val="Normal"/>
        <w:jc w:val="right"/>
        <w:rPr>
          <w:rFonts w:cs="Arial"/>
          <w:szCs w:val="26"/>
          <w:lang w:val="ru-RU"/>
        </w:rPr>
      </w:pPr>
      <w:r>
        <w:rPr>
          <w:rFonts w:cs="Arial"/>
          <w:szCs w:val="26"/>
          <w:lang w:val="ru-RU"/>
        </w:rPr>
        <w:t xml:space="preserve">Приложение к Схеме Теплоснабжения Туртасского </w:t>
      </w:r>
    </w:p>
    <w:p>
      <w:pPr>
        <w:pStyle w:val="Normal"/>
        <w:jc w:val="right"/>
        <w:rPr>
          <w:rFonts w:cs="Arial"/>
          <w:szCs w:val="26"/>
          <w:lang w:val="ru-RU"/>
        </w:rPr>
      </w:pPr>
      <w:r>
        <w:rPr>
          <w:rFonts w:cs="Arial"/>
          <w:szCs w:val="26"/>
          <w:lang w:val="ru-RU"/>
        </w:rPr>
        <w:t xml:space="preserve">Сельского поселения Уватского муниципального </w:t>
      </w:r>
    </w:p>
    <w:p>
      <w:pPr>
        <w:pStyle w:val="Normal"/>
        <w:jc w:val="right"/>
        <w:rPr>
          <w:rFonts w:cs="Arial"/>
          <w:szCs w:val="26"/>
          <w:lang w:val="ru-RU"/>
        </w:rPr>
      </w:pPr>
      <w:r>
        <w:rPr>
          <w:rFonts w:cs="Arial"/>
          <w:szCs w:val="26"/>
          <w:lang w:val="ru-RU"/>
        </w:rPr>
        <w:t>района Тюменской области на период 2015-2030 гг.</w:t>
      </w:r>
    </w:p>
    <w:p>
      <w:pPr>
        <w:pStyle w:val="Normal"/>
        <w:rPr>
          <w:rFonts w:cs="Arial"/>
          <w:szCs w:val="26"/>
          <w:lang w:val="ru-RU"/>
        </w:rPr>
      </w:pPr>
      <w:r>
        <w:rPr>
          <w:rFonts w:cs="Arial"/>
          <w:szCs w:val="26"/>
          <w:lang w:val="ru-RU"/>
        </w:rPr>
      </w:r>
    </w:p>
    <w:p>
      <w:pPr>
        <w:pStyle w:val="Normal"/>
        <w:rPr>
          <w:rFonts w:cs="Arial"/>
          <w:szCs w:val="26"/>
          <w:lang w:val="ru-RU"/>
        </w:rPr>
      </w:pPr>
      <w:r>
        <w:rPr/>
        <w:drawing>
          <wp:inline distT="0" distB="0" distL="0" distR="0">
            <wp:extent cx="9401175" cy="5248275"/>
            <wp:effectExtent l="0" t="0" r="0" b="0"/>
            <wp:docPr id="22"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1" descr=""/>
                    <pic:cNvPicPr>
                      <a:picLocks noChangeAspect="1" noChangeArrowheads="1"/>
                    </pic:cNvPicPr>
                  </pic:nvPicPr>
                  <pic:blipFill>
                    <a:blip r:embed="rId34"/>
                    <a:stretch>
                      <a:fillRect/>
                    </a:stretch>
                  </pic:blipFill>
                  <pic:spPr bwMode="auto">
                    <a:xfrm>
                      <a:off x="0" y="0"/>
                      <a:ext cx="9401175" cy="5248275"/>
                    </a:xfrm>
                    <a:prstGeom prst="rect">
                      <a:avLst/>
                    </a:prstGeom>
                  </pic:spPr>
                </pic:pic>
              </a:graphicData>
            </a:graphic>
          </wp:inline>
        </w:drawing>
      </w:r>
    </w:p>
    <w:p>
      <w:pPr>
        <w:pStyle w:val="Normal"/>
        <w:spacing w:lineRule="auto" w:line="480"/>
        <w:ind w:hanging="0"/>
        <w:jc w:val="center"/>
        <w:rPr/>
      </w:pPr>
      <w:r>
        <w:rPr>
          <w:rFonts w:cs="Arial"/>
          <w:szCs w:val="26"/>
          <w:lang w:val="ru-RU"/>
        </w:rPr>
        <w:t>Схема системы теплоснабжения п. Туртас</w:t>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rPr>
          <w:rFonts w:cs="Arial"/>
          <w:szCs w:val="26"/>
          <w:lang w:val="ru-RU"/>
        </w:rPr>
      </w:pPr>
      <w:r>
        <w:rPr>
          <w:rFonts w:cs="Arial"/>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jc w:val="center"/>
        <w:rPr>
          <w:rFonts w:cs="Arial"/>
          <w:b/>
          <w:b/>
          <w:szCs w:val="26"/>
          <w:lang w:val="ru-RU"/>
        </w:rPr>
      </w:pPr>
      <w:r>
        <w:rPr>
          <w:rFonts w:cs="Arial"/>
          <w:b/>
          <w:szCs w:val="26"/>
          <w:lang w:val="ru-RU"/>
        </w:rPr>
      </w:r>
    </w:p>
    <w:p>
      <w:pPr>
        <w:pStyle w:val="Normal"/>
        <w:rPr/>
      </w:pPr>
      <w:r>
        <w:rPr/>
      </w:r>
    </w:p>
    <w:sectPr>
      <w:footerReference w:type="default" r:id="rId35"/>
      <w:type w:val="nextPage"/>
      <w:pgSz w:orient="landscape" w:w="16838" w:h="11906"/>
      <w:pgMar w:left="567" w:right="567" w:header="0" w:top="567" w:footer="709" w:bottom="851" w:gutter="0"/>
      <w:pgNumType w:start="1" w:fmt="decimal"/>
      <w:formProt w:val="false"/>
      <w:textDirection w:val="lrTb"/>
      <w:docGrid w:type="default" w:linePitch="240" w:charSpace="4294957055"/>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lt;анонимный&gt;" w:date="2017-12-10T21:07:09Z" w:initials="">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position w:val="0"/>
          <w:sz w:val="20"/>
          <w:sz w:val="20"/>
          <w:szCs w:val="22"/>
          <w:u w:val="none"/>
          <w:vertAlign w:val="baseline"/>
          <w:em w:val="none"/>
          <w:lang w:val="ru-RU" w:eastAsia="en-US" w:bidi="ar-SA"/>
        </w:rPr>
        <w:t xml:space="preserve">Приложение одно, поэтому № не нужно указывать </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Arial">
    <w:charset w:val="cc"/>
    <w:family w:val="roman"/>
    <w:pitch w:val="variable"/>
  </w:font>
  <w:font w:name="Calibri">
    <w:charset w:val="cc"/>
    <w:family w:val="swiss"/>
    <w:pitch w:val="variable"/>
  </w:font>
  <w:font w:name="Tahoma">
    <w:charset w:val="cc"/>
    <w:family w:val="roman"/>
    <w:pitch w:val="variable"/>
  </w:font>
  <w:font w:name="Courier New">
    <w:charset w:val="cc"/>
    <w:family w:val="roman"/>
    <w:pitch w:val="variable"/>
  </w:font>
  <w:font w:name="OpenSymbol">
    <w:altName w:val="Arial Unicode MS"/>
    <w:charset w:val="cc"/>
    <w:family w:val="roman"/>
    <w:pitch w:val="variable"/>
  </w:font>
  <w:font w:name="Times New Roman">
    <w:charset w:val="cc"/>
    <w:family w:val="roman"/>
    <w:pitch w:val="variable"/>
  </w:font>
  <w:font w:name="Consolas">
    <w:charset w:val="cc"/>
    <w:family w:val="roman"/>
    <w:pitch w:val="variable"/>
  </w:font>
  <w:font w:name="MingLiU">
    <w:charset w:val="cc"/>
    <w:family w:val="roman"/>
    <w:pitch w:val="variable"/>
  </w:font>
  <w:font w:name="MS Gothic">
    <w:charset w:val="cc"/>
    <w:family w:val="roman"/>
    <w:pitch w:val="variable"/>
  </w:font>
  <w:font w:name="Times New Roman">
    <w:charset w:val="cc"/>
    <w:family w:val="swiss"/>
    <w:pitch w:val="variable"/>
  </w:font>
  <w:font w:name="Cambria">
    <w:charset w:val="cc"/>
    <w:family w:val="roman"/>
    <w:pitch w:val="variable"/>
  </w:font>
  <w:font w:name="Verdana">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13889026"/>
    </w:sdtPr>
    <w:sdtContent>
      <w:p>
        <w:pPr>
          <w:pStyle w:val="Style42"/>
          <w:jc w:val="right"/>
          <w:rPr/>
        </w:pPr>
        <w:r>
          <w:rPr/>
          <w:fldChar w:fldCharType="begin"/>
        </w:r>
        <w:r>
          <w:instrText> PAGE </w:instrText>
        </w:r>
        <w:r>
          <w:fldChar w:fldCharType="separate"/>
        </w:r>
        <w:r>
          <w:t>3</w:t>
        </w:r>
        <w:r>
          <w:fldChar w:fldCharType="end"/>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35775476"/>
    </w:sdtPr>
    <w:sdtContent>
      <w:p>
        <w:pPr>
          <w:pStyle w:val="Style42"/>
          <w:jc w:val="right"/>
          <w:rPr/>
        </w:pPr>
        <w:r>
          <w:rPr/>
          <w:fldChar w:fldCharType="begin"/>
        </w:r>
        <w:r>
          <w:instrText> PAGE </w:instrText>
        </w:r>
        <w:r>
          <w:fldChar w:fldCharType="separate"/>
        </w:r>
        <w:r>
          <w:t>54</w:t>
        </w:r>
        <w:r>
          <w:fldChar w:fldCharType="end"/>
        </w:r>
      </w:p>
      <w:p>
        <w:pPr>
          <w:pStyle w:val="Style42"/>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88836218"/>
    </w:sdtPr>
    <w:sdtContent>
      <w:p>
        <w:pPr>
          <w:pStyle w:val="Style42"/>
          <w:jc w:val="right"/>
          <w:rPr/>
        </w:pPr>
        <w:r>
          <w:rPr/>
          <w:fldChar w:fldCharType="begin"/>
        </w:r>
        <w:r>
          <w:instrText> PAGE </w:instrText>
        </w:r>
        <w:r>
          <w:fldChar w:fldCharType="separate"/>
        </w:r>
        <w:r>
          <w:t>68</w:t>
        </w:r>
        <w:r>
          <w:fldChar w:fldCharType="end"/>
        </w:r>
      </w:p>
      <w:p>
        <w:pPr>
          <w:pStyle w:val="Style42"/>
          <w:rPr/>
        </w:pPr>
        <w:r>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03670288"/>
    </w:sdtPr>
    <w:sdtContent>
      <w:p>
        <w:pPr>
          <w:pStyle w:val="Style42"/>
          <w:jc w:val="right"/>
          <w:rPr/>
        </w:pPr>
        <w:r>
          <w:rPr/>
          <w:fldChar w:fldCharType="begin"/>
        </w:r>
        <w:r>
          <w:instrText> PAGE </w:instrText>
        </w:r>
        <w:r>
          <w:fldChar w:fldCharType="separate"/>
        </w:r>
        <w:r>
          <w:t>69</w:t>
        </w:r>
        <w:r>
          <w:fldChar w:fldCharType="end"/>
        </w:r>
      </w:p>
      <w:p>
        <w:pPr>
          <w:pStyle w:val="Style42"/>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52757531"/>
    </w:sdtPr>
    <w:sdtContent>
      <w:p>
        <w:pPr>
          <w:pStyle w:val="Style42"/>
          <w:jc w:val="right"/>
          <w:rPr/>
        </w:pPr>
        <w:r>
          <w:rPr/>
          <w:fldChar w:fldCharType="begin"/>
        </w:r>
        <w:r>
          <w:instrText> PAGE </w:instrText>
        </w:r>
        <w:r>
          <w:fldChar w:fldCharType="separate"/>
        </w:r>
        <w:r>
          <w:t>77</w:t>
        </w:r>
        <w:r>
          <w:fldChar w:fldCharType="end"/>
        </w:r>
      </w:p>
      <w:p>
        <w:pPr>
          <w:pStyle w:val="Style42"/>
          <w:rPr/>
        </w:pPr>
        <w:r>
          <w:rPr/>
        </w:r>
      </w:p>
    </w:sdtContent>
  </w:sdt>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12073089"/>
    </w:sdtPr>
    <w:sdtContent>
      <w:p>
        <w:pPr>
          <w:pStyle w:val="Style42"/>
          <w:jc w:val="right"/>
          <w:rPr/>
        </w:pPr>
        <w:r>
          <w:rPr/>
          <w:fldChar w:fldCharType="begin"/>
        </w:r>
        <w:r>
          <w:instrText> PAGE </w:instrText>
        </w:r>
        <w:r>
          <w:fldChar w:fldCharType="separate"/>
        </w:r>
        <w:r>
          <w:t>2</w:t>
        </w:r>
        <w:r>
          <w:fldChar w:fldCharType="end"/>
        </w:r>
      </w:p>
      <w:p>
        <w:pPr>
          <w:pStyle w:val="Style42"/>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72694472"/>
    </w:sdtPr>
    <w:sdtContent>
      <w:p>
        <w:pPr>
          <w:pStyle w:val="Style42"/>
          <w:jc w:val="right"/>
          <w:rPr/>
        </w:pPr>
        <w:r>
          <w:rPr/>
          <w:fldChar w:fldCharType="begin"/>
        </w:r>
        <w:r>
          <w:instrText> PAGE </w:instrText>
        </w:r>
        <w:r>
          <w:fldChar w:fldCharType="separate"/>
        </w:r>
        <w:r>
          <w:t>20</w:t>
        </w:r>
        <w: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37125270"/>
    </w:sdtPr>
    <w:sdtContent>
      <w:p>
        <w:pPr>
          <w:pStyle w:val="Style42"/>
          <w:jc w:val="right"/>
          <w:rPr/>
        </w:pPr>
        <w:r>
          <w:rPr/>
          <w:fldChar w:fldCharType="begin"/>
        </w:r>
        <w:r>
          <w:instrText> PAGE </w:instrText>
        </w:r>
        <w:r>
          <w:fldChar w:fldCharType="separate"/>
        </w:r>
        <w:r>
          <w:t>40</w:t>
        </w:r>
        <w:r>
          <w:fldChar w:fldCharType="end"/>
        </w:r>
      </w:p>
      <w:p>
        <w:pPr>
          <w:pStyle w:val="Style42"/>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05993541"/>
    </w:sdtPr>
    <w:sdtContent>
      <w:p>
        <w:pPr>
          <w:pStyle w:val="Style42"/>
          <w:jc w:val="right"/>
          <w:rPr/>
        </w:pPr>
        <w:r>
          <w:rPr/>
          <w:fldChar w:fldCharType="begin"/>
        </w:r>
        <w:r>
          <w:instrText> PAGE </w:instrText>
        </w:r>
        <w:r>
          <w:fldChar w:fldCharType="separate"/>
        </w:r>
        <w:r>
          <w:t>42</w:t>
        </w:r>
        <w:r>
          <w:fldChar w:fldCharType="end"/>
        </w:r>
      </w:p>
      <w:p>
        <w:pPr>
          <w:pStyle w:val="Style42"/>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04275523"/>
    </w:sdtPr>
    <w:sdtContent>
      <w:p>
        <w:pPr>
          <w:pStyle w:val="Style42"/>
          <w:jc w:val="right"/>
          <w:rPr/>
        </w:pPr>
        <w:r>
          <w:rPr/>
          <w:fldChar w:fldCharType="begin"/>
        </w:r>
        <w:r>
          <w:instrText> PAGE </w:instrText>
        </w:r>
        <w:r>
          <w:fldChar w:fldCharType="separate"/>
        </w:r>
        <w:r>
          <w:t>46</w:t>
        </w:r>
        <w:r>
          <w:fldChar w:fldCharType="end"/>
        </w:r>
      </w:p>
      <w:p>
        <w:pPr>
          <w:pStyle w:val="Style42"/>
          <w:rPr/>
        </w:pPr>
        <w:r>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77702692"/>
    </w:sdtPr>
    <w:sdtContent>
      <w:p>
        <w:pPr>
          <w:pStyle w:val="Style42"/>
          <w:jc w:val="right"/>
          <w:rPr/>
        </w:pPr>
        <w:r>
          <w:rPr/>
          <w:fldChar w:fldCharType="begin"/>
        </w:r>
        <w:r>
          <w:instrText> PAGE </w:instrText>
        </w:r>
        <w:r>
          <w:fldChar w:fldCharType="separate"/>
        </w:r>
        <w:r>
          <w:t>47</w:t>
        </w:r>
        <w:r>
          <w:fldChar w:fldCharType="end"/>
        </w:r>
      </w:p>
      <w:p>
        <w:pPr>
          <w:pStyle w:val="Style42"/>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06259026"/>
    </w:sdtPr>
    <w:sdtContent>
      <w:p>
        <w:pPr>
          <w:pStyle w:val="Style42"/>
          <w:jc w:val="right"/>
          <w:rPr/>
        </w:pPr>
        <w:r>
          <w:rPr/>
          <w:fldChar w:fldCharType="begin"/>
        </w:r>
        <w:r>
          <w:instrText> PAGE </w:instrText>
        </w:r>
        <w:r>
          <w:fldChar w:fldCharType="separate"/>
        </w:r>
        <w:r>
          <w:t>51</w:t>
        </w:r>
        <w:r>
          <w:fldChar w:fldCharType="end"/>
        </w:r>
      </w:p>
      <w:p>
        <w:pPr>
          <w:pStyle w:val="Style42"/>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60331625"/>
    </w:sdtPr>
    <w:sdtContent>
      <w:p>
        <w:pPr>
          <w:pStyle w:val="Style42"/>
          <w:jc w:val="right"/>
          <w:rPr/>
        </w:pPr>
        <w:r>
          <w:rPr/>
          <w:fldChar w:fldCharType="begin"/>
        </w:r>
        <w:r>
          <w:instrText> PAGE </w:instrText>
        </w:r>
        <w:r>
          <w:fldChar w:fldCharType="separate"/>
        </w:r>
        <w:r>
          <w:t>52</w:t>
        </w:r>
        <w:r>
          <w:fldChar w:fldCharType="end"/>
        </w:r>
      </w:p>
      <w:p>
        <w:pPr>
          <w:pStyle w:val="Style42"/>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92089246"/>
    </w:sdtPr>
    <w:sdtContent>
      <w:p>
        <w:pPr>
          <w:pStyle w:val="Style42"/>
          <w:jc w:val="right"/>
          <w:rPr/>
        </w:pPr>
        <w:r>
          <w:rPr/>
          <w:fldChar w:fldCharType="begin"/>
        </w:r>
        <w:r>
          <w:instrText> PAGE </w:instrText>
        </w:r>
        <w:r>
          <w:fldChar w:fldCharType="separate"/>
        </w:r>
        <w:r>
          <w:t>53</w:t>
        </w:r>
        <w:r>
          <w:fldChar w:fldCharType="end"/>
        </w:r>
      </w:p>
      <w:p>
        <w:pPr>
          <w:pStyle w:val="Style42"/>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574" w:hanging="432"/>
      </w:pPr>
      <w:rPr>
        <w:smallCaps w:val="false"/>
        <w:caps w:val="false"/>
        <w:outline w:val="false"/>
        <w:dstrike w:val="false"/>
        <w:strike w:val="false"/>
        <w:vertAlign w:val="baseline"/>
        <w:position w:val="0"/>
        <w:sz w:val="26"/>
        <w:sz w:val="26"/>
        <w:spacing w:val="0"/>
        <w:i w:val="false"/>
        <w:shadow w:val="false"/>
        <w:u w:val="none"/>
        <w:b/>
        <w:effect w:val="none"/>
        <w:iCs w:val="false"/>
        <w:bCs w:val="false"/>
        <w:em w:val="none"/>
        <w:emboss w:val="false"/>
        <w:imprint w:val="false"/>
        <w:vanish w:val="false"/>
      </w:rPr>
    </w:lvl>
    <w:lvl w:ilvl="1">
      <w:start w:val="1"/>
      <w:numFmt w:val="decimal"/>
      <w:lvlText w:val="%1.%2"/>
      <w:lvlJc w:val="left"/>
      <w:pPr>
        <w:ind w:left="576" w:hanging="576"/>
      </w:pPr>
    </w:lvl>
    <w:lvl w:ilvl="2">
      <w:start w:val="1"/>
      <w:numFmt w:val="decimal"/>
      <w:lvlText w:val="%1.%2.%3"/>
      <w:lvlJc w:val="left"/>
      <w:pPr>
        <w:ind w:left="862" w:hanging="720"/>
      </w:pPr>
      <w:rPr>
        <w:i w:val="fals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lvl w:ilvl="0">
      <w:start w:val="2"/>
      <w:numFmt w:val="decimal"/>
      <w:lvlText w:val="%1."/>
      <w:lvlJc w:val="left"/>
      <w:pPr>
        <w:ind w:left="574" w:hanging="432"/>
      </w:pPr>
      <w:rPr>
        <w:smallCaps w:val="false"/>
        <w:caps w:val="false"/>
        <w:outline w:val="false"/>
        <w:dstrike w:val="false"/>
        <w:strike w:val="false"/>
        <w:vertAlign w:val="baseline"/>
        <w:position w:val="0"/>
        <w:sz w:val="26"/>
        <w:sz w:val="26"/>
        <w:spacing w:val="0"/>
        <w:i w:val="false"/>
        <w:shadow w:val="false"/>
        <w:u w:val="none"/>
        <w:b w:val="false"/>
        <w:effect w:val="none"/>
        <w:iCs w:val="false"/>
        <w:bCs w:val="false"/>
        <w:em w:val="none"/>
        <w:emboss w:val="false"/>
        <w:imprint w:val="false"/>
        <w:vanish w:val="false"/>
      </w:rPr>
    </w:lvl>
    <w:lvl w:ilvl="1">
      <w:start w:val="2"/>
      <w:numFmt w:val="decimal"/>
      <w:lvlText w:val="%1.%2"/>
      <w:lvlJc w:val="left"/>
      <w:pPr>
        <w:ind w:left="576" w:hanging="576"/>
      </w:pPr>
    </w:lvl>
    <w:lvl w:ilvl="2">
      <w:start w:val="1"/>
      <w:numFmt w:val="decimal"/>
      <w:lvlText w:val="%1.%2.%3"/>
      <w:lvlJc w:val="left"/>
      <w:pPr>
        <w:ind w:left="862" w:hanging="720"/>
      </w:pPr>
      <w:rPr>
        <w:i w:val="fals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pacing w:lineRule="auto" w:line="259"/>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0" w:qFormat="1"/>
    <w:lsdException w:name="heading 4" w:uiPriority="0" w:qFormat="1"/>
    <w:lsdException w:name="heading 5"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uiPriority="10" w:semiHidden="0" w:unhideWhenUsed="0" w:qFormat="1"/>
    <w:lsdException w:name="Default Paragraph Font" w:uiPriority="1"/>
    <w:lsdException w:name="Subtitle" w:uiPriority="0" w:semiHidden="0" w:unhideWhenUsed="0" w:qFormat="1"/>
    <w:lsdException w:name="Block Text" w:uiPriority="0"/>
    <w:lsdException w:name="FollowedHyperlink" w:uiPriority="0"/>
    <w:lsdException w:name="Strong" w:uiPriority="22" w:semiHidden="0" w:unhideWhenUsed="0" w:qFormat="1"/>
    <w:lsdException w:name="Emphasis" w:uiPriority="0" w:semiHidden="0" w:unhideWhenUsed="0" w:qFormat="1"/>
    <w:lsdException w:name="Plain Text" w:uiPriority="0"/>
    <w:lsdException w:name="Normal (Web)" w:qFormat="1"/>
    <w:lsdException w:name="HTML Preformatted" w:uiPriority="0" w:qFormat="1"/>
    <w:lsdException w:name="Outline List 2" w:uiPriority="0"/>
    <w:lsdException w:name="Table Grid" w:uiPriority="0" w:semiHidden="0" w:unhideWhenUsed="0"/>
    <w:lsdException w:name="Placeholder Text" w:unhideWhenUsed="0"/>
    <w:lsdException w:name="No Spacing"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0" w:semiHidden="0" w:unhideWhenUsed="0" w:qFormat="1"/>
    <w:lsdException w:name="Intense Quote" w:uiPriority="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0" w:semiHidden="0" w:unhideWhenUsed="0" w:qFormat="1"/>
    <w:lsdException w:name="Intense Emphasis" w:uiPriority="21" w:semiHidden="0" w:unhideWhenUsed="0" w:qFormat="1"/>
    <w:lsdException w:name="Subtle Reference" w:uiPriority="0" w:semiHidden="0" w:unhideWhenUsed="0" w:qFormat="1"/>
    <w:lsdException w:name="Intense Reference" w:uiPriority="0" w:semiHidden="0" w:unhideWhenUsed="0" w:qFormat="1"/>
    <w:lsdException w:name="Book Title" w:uiPriority="33" w:semiHidden="0" w:unhideWhenUsed="0" w:qFormat="1"/>
    <w:lsdException w:name="Bibliography" w:uiPriority="37"/>
    <w:lsdException w:name="TOC Heading" w:qFormat="1"/>
  </w:latentStyles>
  <w:style w:type="paragraph" w:styleId="Normal" w:default="1">
    <w:name w:val="Normal"/>
    <w:qFormat/>
    <w:rsid w:val="00793e1b"/>
    <w:pPr>
      <w:widowControl/>
      <w:bidi w:val="0"/>
      <w:spacing w:lineRule="auto" w:line="240"/>
      <w:ind w:firstLine="709"/>
      <w:jc w:val="both"/>
    </w:pPr>
    <w:rPr>
      <w:rFonts w:ascii="Arial" w:hAnsi="Arial" w:eastAsia="Times New Roman" w:cs="Times New Roman"/>
      <w:color w:val="00000A"/>
      <w:sz w:val="26"/>
      <w:szCs w:val="24"/>
      <w:lang w:val="en-US" w:bidi="en-US" w:eastAsia="en-US"/>
    </w:rPr>
  </w:style>
  <w:style w:type="paragraph" w:styleId="1">
    <w:name w:val="Заголовок 1"/>
    <w:basedOn w:val="Style35"/>
    <w:link w:val="11"/>
    <w:qFormat/>
    <w:rsid w:val="00c750d1"/>
    <w:pPr>
      <w:keepNext/>
      <w:widowControl w:val="false"/>
      <w:spacing w:lineRule="auto" w:line="259" w:before="240" w:after="60"/>
      <w:jc w:val="left"/>
    </w:pPr>
    <w:rPr>
      <w:rFonts w:ascii="Calibri" w:hAnsi="Calibri" w:eastAsia="Calibri" w:cs="" w:asciiTheme="minorHAnsi" w:cstheme="minorBidi" w:eastAsiaTheme="minorHAnsi" w:hAnsiTheme="minorHAnsi"/>
      <w:bCs/>
      <w:sz w:val="32"/>
      <w:szCs w:val="32"/>
      <w:lang w:eastAsia="en-US"/>
    </w:rPr>
  </w:style>
  <w:style w:type="paragraph" w:styleId="2">
    <w:name w:val="Заголовок 2"/>
    <w:basedOn w:val="Style35"/>
    <w:link w:val="20"/>
    <w:uiPriority w:val="9"/>
    <w:qFormat/>
    <w:rsid w:val="00c750d1"/>
    <w:pPr>
      <w:keepNext/>
      <w:widowControl w:val="false"/>
      <w:spacing w:lineRule="auto" w:line="259" w:before="240" w:after="60"/>
      <w:jc w:val="left"/>
      <w:outlineLvl w:val="1"/>
    </w:pPr>
    <w:rPr>
      <w:rFonts w:ascii="Calibri" w:hAnsi="Calibri" w:eastAsia="Calibri" w:cs="" w:asciiTheme="minorHAnsi" w:cstheme="minorBidi" w:eastAsiaTheme="minorHAnsi" w:hAnsiTheme="minorHAnsi"/>
      <w:bCs/>
      <w:i/>
      <w:iCs/>
      <w:szCs w:val="28"/>
      <w:lang w:eastAsia="en-US"/>
    </w:rPr>
  </w:style>
  <w:style w:type="paragraph" w:styleId="3">
    <w:name w:val="Заголовок 3"/>
    <w:basedOn w:val="Style35"/>
    <w:link w:val="30"/>
    <w:qFormat/>
    <w:rsid w:val="00c750d1"/>
    <w:pPr>
      <w:keepNext/>
      <w:widowControl w:val="false"/>
      <w:spacing w:lineRule="auto" w:line="259" w:before="240" w:after="60"/>
      <w:jc w:val="left"/>
      <w:outlineLvl w:val="2"/>
    </w:pPr>
    <w:rPr>
      <w:rFonts w:ascii="Calibri" w:hAnsi="Calibri" w:eastAsia="Calibri" w:cs="" w:asciiTheme="minorHAnsi" w:cstheme="minorBidi" w:eastAsiaTheme="minorHAnsi" w:hAnsiTheme="minorHAnsi"/>
      <w:bCs/>
      <w:sz w:val="26"/>
      <w:szCs w:val="26"/>
      <w:lang w:eastAsia="en-US"/>
    </w:rPr>
  </w:style>
  <w:style w:type="paragraph" w:styleId="4">
    <w:name w:val="Заголовок 4"/>
    <w:basedOn w:val="Style35"/>
    <w:link w:val="40"/>
    <w:rsid w:val="00c750d1"/>
    <w:pPr>
      <w:keepNext/>
      <w:widowControl w:val="false"/>
      <w:spacing w:lineRule="auto" w:line="259" w:before="240" w:after="60"/>
      <w:jc w:val="left"/>
      <w:outlineLvl w:val="3"/>
    </w:pPr>
    <w:rPr>
      <w:rFonts w:ascii="Calibri" w:hAnsi="Calibri" w:eastAsia="Calibri" w:cs="" w:asciiTheme="minorHAnsi" w:cstheme="minorBidi" w:eastAsiaTheme="minorHAnsi" w:hAnsiTheme="minorHAnsi"/>
      <w:bCs/>
      <w:szCs w:val="28"/>
      <w:lang w:eastAsia="en-US"/>
    </w:rPr>
  </w:style>
  <w:style w:type="paragraph" w:styleId="5">
    <w:name w:val="Заголовок 5"/>
    <w:basedOn w:val="Style35"/>
    <w:link w:val="50"/>
    <w:uiPriority w:val="99"/>
    <w:qFormat/>
    <w:rsid w:val="00c750d1"/>
    <w:pPr>
      <w:widowControl w:val="false"/>
      <w:spacing w:lineRule="auto" w:line="259" w:before="240" w:after="60"/>
      <w:jc w:val="left"/>
      <w:outlineLvl w:val="4"/>
    </w:pPr>
    <w:rPr>
      <w:rFonts w:ascii="Calibri" w:hAnsi="Calibri" w:eastAsia="Calibri" w:cs="" w:asciiTheme="minorHAnsi" w:cstheme="minorBidi" w:eastAsiaTheme="minorHAnsi" w:hAnsiTheme="minorHAnsi"/>
      <w:bCs/>
      <w:i/>
      <w:iCs/>
      <w:sz w:val="26"/>
      <w:szCs w:val="26"/>
      <w:lang w:eastAsia="en-US"/>
    </w:rPr>
  </w:style>
  <w:style w:type="paragraph" w:styleId="6">
    <w:name w:val="Заголовок 6"/>
    <w:basedOn w:val="Style35"/>
    <w:link w:val="60"/>
    <w:rsid w:val="00c750d1"/>
    <w:pPr>
      <w:widowControl w:val="false"/>
      <w:spacing w:lineRule="auto" w:line="259" w:before="240" w:after="60"/>
      <w:jc w:val="left"/>
      <w:outlineLvl w:val="5"/>
    </w:pPr>
    <w:rPr>
      <w:rFonts w:ascii="Calibri" w:hAnsi="Calibri" w:eastAsia="Calibri" w:cs="" w:asciiTheme="minorHAnsi" w:cstheme="minorBidi" w:eastAsiaTheme="minorHAnsi" w:hAnsiTheme="minorHAnsi"/>
      <w:bCs/>
      <w:sz w:val="22"/>
      <w:szCs w:val="22"/>
      <w:lang w:eastAsia="en-US"/>
    </w:rPr>
  </w:style>
  <w:style w:type="paragraph" w:styleId="7">
    <w:name w:val="Заголовок 7"/>
    <w:basedOn w:val="Style35"/>
    <w:link w:val="70"/>
    <w:uiPriority w:val="99"/>
    <w:qFormat/>
    <w:rsid w:val="00c750d1"/>
    <w:pPr>
      <w:widowControl w:val="false"/>
      <w:spacing w:lineRule="auto" w:line="259" w:before="240" w:after="60"/>
      <w:jc w:val="left"/>
      <w:outlineLvl w:val="6"/>
    </w:pPr>
    <w:rPr>
      <w:rFonts w:ascii="Calibri" w:hAnsi="Calibri" w:eastAsia="Calibri" w:cs="" w:asciiTheme="minorHAnsi" w:cstheme="minorBidi" w:eastAsiaTheme="minorHAnsi" w:hAnsiTheme="minorHAnsi"/>
      <w:sz w:val="26"/>
      <w:szCs w:val="22"/>
      <w:lang w:eastAsia="en-US"/>
    </w:rPr>
  </w:style>
  <w:style w:type="paragraph" w:styleId="8">
    <w:name w:val="Заголовок 8"/>
    <w:basedOn w:val="Style35"/>
    <w:link w:val="80"/>
    <w:rsid w:val="00c750d1"/>
    <w:pPr>
      <w:widowControl w:val="false"/>
      <w:spacing w:lineRule="auto" w:line="259" w:before="240" w:after="60"/>
      <w:jc w:val="left"/>
      <w:outlineLvl w:val="7"/>
    </w:pPr>
    <w:rPr>
      <w:rFonts w:ascii="Calibri" w:hAnsi="Calibri" w:eastAsia="Calibri" w:cs="" w:asciiTheme="minorHAnsi" w:cstheme="minorBidi" w:eastAsiaTheme="minorHAnsi" w:hAnsiTheme="minorHAnsi"/>
      <w:i/>
      <w:iCs/>
      <w:sz w:val="26"/>
      <w:szCs w:val="22"/>
      <w:lang w:eastAsia="en-US"/>
    </w:rPr>
  </w:style>
  <w:style w:type="paragraph" w:styleId="9">
    <w:name w:val="Заголовок 9"/>
    <w:basedOn w:val="Style35"/>
    <w:link w:val="90"/>
    <w:rsid w:val="00c750d1"/>
    <w:pPr>
      <w:widowControl w:val="false"/>
      <w:spacing w:lineRule="auto" w:line="259" w:before="240" w:after="60"/>
      <w:jc w:val="left"/>
      <w:outlineLvl w:val="8"/>
    </w:pPr>
    <w:rPr>
      <w:rFonts w:ascii="Calibri" w:hAnsi="Calibri" w:eastAsia="Calibri" w:cs="" w:asciiTheme="minorHAnsi" w:cstheme="minorBidi" w:eastAsiaTheme="minorHAnsi" w:hAnsiTheme="minorHAnsi"/>
      <w:sz w:val="22"/>
      <w:szCs w:val="22"/>
      <w:lang w:eastAsia="en-US"/>
    </w:rPr>
  </w:style>
  <w:style w:type="character" w:styleId="DefaultParagraphFont" w:default="1">
    <w:name w:val="Default Paragraph Font"/>
    <w:uiPriority w:val="1"/>
    <w:semiHidden/>
    <w:unhideWhenUsed/>
    <w:qFormat/>
    <w:rPr/>
  </w:style>
  <w:style w:type="character" w:styleId="Itemtext1" w:customStyle="1">
    <w:name w:val="itemtext1"/>
    <w:qFormat/>
    <w:rsid w:val="00793e1b"/>
    <w:rPr>
      <w:rFonts w:ascii="Tahoma" w:hAnsi="Tahoma" w:cs="Tahoma"/>
      <w:color w:val="000000"/>
      <w:sz w:val="20"/>
      <w:szCs w:val="20"/>
    </w:rPr>
  </w:style>
  <w:style w:type="character" w:styleId="Style5" w:customStyle="1">
    <w:name w:val="Верхний колонтитул Знак"/>
    <w:basedOn w:val="DefaultParagraphFont"/>
    <w:uiPriority w:val="99"/>
    <w:qFormat/>
    <w:rsid w:val="00793e1b"/>
    <w:rPr>
      <w:rFonts w:ascii="Arial" w:hAnsi="Arial" w:eastAsia="Times New Roman" w:cs="Times New Roman"/>
      <w:color w:val="00000A"/>
      <w:sz w:val="26"/>
      <w:szCs w:val="24"/>
      <w:lang w:val="en-US" w:bidi="en-US"/>
    </w:rPr>
  </w:style>
  <w:style w:type="character" w:styleId="Style6" w:customStyle="1">
    <w:name w:val="Нижний колонтитул Знак"/>
    <w:basedOn w:val="DefaultParagraphFont"/>
    <w:uiPriority w:val="99"/>
    <w:qFormat/>
    <w:rsid w:val="00793e1b"/>
    <w:rPr>
      <w:rFonts w:ascii="Arial" w:hAnsi="Arial" w:eastAsia="Times New Roman" w:cs="Times New Roman"/>
      <w:color w:val="00000A"/>
      <w:sz w:val="26"/>
      <w:szCs w:val="24"/>
      <w:lang w:val="en-US" w:bidi="en-US"/>
    </w:rPr>
  </w:style>
  <w:style w:type="character" w:styleId="HTML" w:customStyle="1">
    <w:name w:val="Стандартный HTML Знак"/>
    <w:basedOn w:val="DefaultParagraphFont"/>
    <w:link w:val="HTML"/>
    <w:semiHidden/>
    <w:qFormat/>
    <w:rsid w:val="00793e1b"/>
    <w:rPr>
      <w:rFonts w:ascii="Courier New" w:hAnsi="Courier New" w:eastAsia="Times New Roman" w:cs="Times New Roman"/>
      <w:color w:val="00000A"/>
      <w:sz w:val="20"/>
      <w:szCs w:val="20"/>
      <w:lang w:val="en-US"/>
    </w:rPr>
  </w:style>
  <w:style w:type="character" w:styleId="11" w:customStyle="1">
    <w:name w:val="Заголовок 1 Знак"/>
    <w:basedOn w:val="DefaultParagraphFont"/>
    <w:link w:val="12"/>
    <w:qFormat/>
    <w:rsid w:val="00c750d1"/>
    <w:rPr>
      <w:rFonts w:ascii="Arial" w:hAnsi="Arial" w:eastAsia="Times New Roman" w:cs="Times New Roman"/>
      <w:b/>
      <w:bCs/>
      <w:sz w:val="32"/>
      <w:szCs w:val="32"/>
      <w:lang w:eastAsia="zh-CN" w:bidi="en-US"/>
    </w:rPr>
  </w:style>
  <w:style w:type="character" w:styleId="21" w:customStyle="1">
    <w:name w:val="Заголовок 2 Знак"/>
    <w:basedOn w:val="DefaultParagraphFont"/>
    <w:link w:val="21"/>
    <w:uiPriority w:val="9"/>
    <w:qFormat/>
    <w:rsid w:val="00c750d1"/>
    <w:rPr>
      <w:rFonts w:ascii="Arial" w:hAnsi="Arial" w:eastAsia="Times New Roman" w:cs="Times New Roman"/>
      <w:b/>
      <w:bCs/>
      <w:i/>
      <w:iCs/>
      <w:sz w:val="28"/>
      <w:szCs w:val="28"/>
      <w:lang w:eastAsia="zh-CN" w:bidi="en-US"/>
    </w:rPr>
  </w:style>
  <w:style w:type="character" w:styleId="31" w:customStyle="1">
    <w:name w:val="Заголовок 3 Знак"/>
    <w:basedOn w:val="DefaultParagraphFont"/>
    <w:link w:val="3"/>
    <w:qFormat/>
    <w:rsid w:val="00c750d1"/>
    <w:rPr>
      <w:rFonts w:ascii="Arial" w:hAnsi="Arial" w:eastAsia="Times New Roman" w:cs="Times New Roman"/>
      <w:b/>
      <w:bCs/>
      <w:sz w:val="26"/>
      <w:szCs w:val="26"/>
      <w:lang w:eastAsia="zh-CN" w:bidi="en-US"/>
    </w:rPr>
  </w:style>
  <w:style w:type="character" w:styleId="41" w:customStyle="1">
    <w:name w:val="Заголовок 4 Знак"/>
    <w:basedOn w:val="DefaultParagraphFont"/>
    <w:link w:val="4"/>
    <w:qFormat/>
    <w:rsid w:val="00c750d1"/>
    <w:rPr>
      <w:rFonts w:ascii="Arial" w:hAnsi="Arial" w:eastAsia="Times New Roman" w:cs="Times New Roman"/>
      <w:b/>
      <w:bCs/>
      <w:sz w:val="28"/>
      <w:szCs w:val="28"/>
      <w:lang w:eastAsia="zh-CN" w:bidi="en-US"/>
    </w:rPr>
  </w:style>
  <w:style w:type="character" w:styleId="51" w:customStyle="1">
    <w:name w:val="Заголовок 5 Знак"/>
    <w:basedOn w:val="DefaultParagraphFont"/>
    <w:link w:val="5"/>
    <w:uiPriority w:val="99"/>
    <w:qFormat/>
    <w:rsid w:val="00c750d1"/>
    <w:rPr>
      <w:rFonts w:ascii="Arial" w:hAnsi="Arial" w:eastAsia="Times New Roman" w:cs="Times New Roman"/>
      <w:b/>
      <w:bCs/>
      <w:i/>
      <w:iCs/>
      <w:sz w:val="26"/>
      <w:szCs w:val="26"/>
      <w:lang w:eastAsia="zh-CN" w:bidi="en-US"/>
    </w:rPr>
  </w:style>
  <w:style w:type="character" w:styleId="61" w:customStyle="1">
    <w:name w:val="Заголовок 6 Знак"/>
    <w:basedOn w:val="DefaultParagraphFont"/>
    <w:link w:val="6"/>
    <w:qFormat/>
    <w:rsid w:val="00c750d1"/>
    <w:rPr>
      <w:rFonts w:ascii="Arial" w:hAnsi="Arial" w:eastAsia="Times New Roman" w:cs="Times New Roman"/>
      <w:b/>
      <w:bCs/>
      <w:lang w:eastAsia="zh-CN" w:bidi="en-US"/>
    </w:rPr>
  </w:style>
  <w:style w:type="character" w:styleId="71" w:customStyle="1">
    <w:name w:val="Заголовок 7 Знак"/>
    <w:basedOn w:val="DefaultParagraphFont"/>
    <w:link w:val="7"/>
    <w:uiPriority w:val="99"/>
    <w:qFormat/>
    <w:rsid w:val="00c750d1"/>
    <w:rPr>
      <w:rFonts w:ascii="Arial" w:hAnsi="Arial" w:eastAsia="Times New Roman" w:cs="Times New Roman"/>
      <w:sz w:val="26"/>
      <w:szCs w:val="24"/>
      <w:lang w:eastAsia="zh-CN" w:bidi="en-US"/>
    </w:rPr>
  </w:style>
  <w:style w:type="character" w:styleId="81" w:customStyle="1">
    <w:name w:val="Заголовок 8 Знак"/>
    <w:basedOn w:val="DefaultParagraphFont"/>
    <w:link w:val="8"/>
    <w:qFormat/>
    <w:rsid w:val="00c750d1"/>
    <w:rPr>
      <w:rFonts w:ascii="Arial" w:hAnsi="Arial" w:eastAsia="Times New Roman" w:cs="Times New Roman"/>
      <w:i/>
      <w:iCs/>
      <w:sz w:val="26"/>
      <w:szCs w:val="24"/>
      <w:lang w:eastAsia="zh-CN" w:bidi="en-US"/>
    </w:rPr>
  </w:style>
  <w:style w:type="character" w:styleId="91" w:customStyle="1">
    <w:name w:val="Заголовок 9 Знак"/>
    <w:basedOn w:val="DefaultParagraphFont"/>
    <w:link w:val="9"/>
    <w:qFormat/>
    <w:rsid w:val="00c750d1"/>
    <w:rPr>
      <w:rFonts w:ascii="Arial" w:hAnsi="Arial" w:eastAsia="Times New Roman" w:cs="Times New Roman"/>
      <w:lang w:eastAsia="zh-CN" w:bidi="en-US"/>
    </w:rPr>
  </w:style>
  <w:style w:type="character" w:styleId="Style7" w:customStyle="1">
    <w:name w:val="Подзаголовок Знак"/>
    <w:basedOn w:val="DefaultParagraphFont"/>
    <w:qFormat/>
    <w:rsid w:val="00c750d1"/>
    <w:rPr>
      <w:rFonts w:ascii="Arial" w:hAnsi="Arial" w:eastAsia="Times New Roman" w:cs="Times New Roman"/>
      <w:sz w:val="26"/>
      <w:szCs w:val="24"/>
      <w:lang w:eastAsia="zh-CN" w:bidi="en-US"/>
    </w:rPr>
  </w:style>
  <w:style w:type="character" w:styleId="22" w:customStyle="1">
    <w:name w:val="Цитата 2 Знак"/>
    <w:basedOn w:val="DefaultParagraphFont"/>
    <w:link w:val="22"/>
    <w:qFormat/>
    <w:rsid w:val="00c750d1"/>
    <w:rPr>
      <w:rFonts w:ascii="Arial" w:hAnsi="Arial" w:eastAsia="Times New Roman" w:cs="Times New Roman"/>
      <w:i/>
      <w:sz w:val="26"/>
      <w:szCs w:val="24"/>
      <w:lang w:eastAsia="zh-CN" w:bidi="en-US"/>
    </w:rPr>
  </w:style>
  <w:style w:type="character" w:styleId="Style8" w:customStyle="1">
    <w:name w:val="Выделенная цитата Знак"/>
    <w:basedOn w:val="DefaultParagraphFont"/>
    <w:qFormat/>
    <w:rsid w:val="00c750d1"/>
    <w:rPr>
      <w:rFonts w:ascii="Arial" w:hAnsi="Arial" w:eastAsia="Times New Roman" w:cs="Times New Roman"/>
      <w:b/>
      <w:i/>
      <w:sz w:val="26"/>
      <w:lang w:eastAsia="zh-CN" w:bidi="en-US"/>
    </w:rPr>
  </w:style>
  <w:style w:type="character" w:styleId="Style9" w:customStyle="1">
    <w:name w:val="Текст выноски Знак"/>
    <w:basedOn w:val="DefaultParagraphFont"/>
    <w:uiPriority w:val="99"/>
    <w:qFormat/>
    <w:rsid w:val="00c750d1"/>
    <w:rPr>
      <w:rFonts w:ascii="Tahoma" w:hAnsi="Tahoma" w:eastAsia="Tahoma" w:cs="Tahoma"/>
      <w:sz w:val="16"/>
      <w:szCs w:val="16"/>
      <w:lang w:eastAsia="zh-CN" w:bidi="en-US"/>
    </w:rPr>
  </w:style>
  <w:style w:type="character" w:styleId="Style10" w:customStyle="1">
    <w:name w:val="Название Знак"/>
    <w:qFormat/>
    <w:rsid w:val="00c750d1"/>
    <w:rPr>
      <w:rFonts w:ascii="Arial" w:hAnsi="Arial" w:eastAsia="Times New Roman" w:cs="Arial"/>
      <w:b/>
      <w:bCs/>
      <w:sz w:val="32"/>
      <w:szCs w:val="32"/>
    </w:rPr>
  </w:style>
  <w:style w:type="character" w:styleId="Style11" w:customStyle="1">
    <w:name w:val="Выделение жирным"/>
    <w:rsid w:val="00c750d1"/>
    <w:rPr>
      <w:b/>
      <w:bCs/>
    </w:rPr>
  </w:style>
  <w:style w:type="character" w:styleId="Style12">
    <w:name w:val="Выделение"/>
    <w:rsid w:val="00c750d1"/>
    <w:rPr>
      <w:rFonts w:ascii="Arial" w:hAnsi="Arial" w:eastAsia="Arial" w:cs="Arial"/>
      <w:b/>
      <w:i/>
      <w:iCs/>
    </w:rPr>
  </w:style>
  <w:style w:type="character" w:styleId="SubtleEmphasis">
    <w:name w:val="Subtle Emphasis"/>
    <w:qFormat/>
    <w:rsid w:val="00c750d1"/>
    <w:rPr>
      <w:i/>
      <w:color w:val="5A5A5A"/>
    </w:rPr>
  </w:style>
  <w:style w:type="character" w:styleId="IntenseEmphasis">
    <w:name w:val="Intense Emphasis"/>
    <w:uiPriority w:val="21"/>
    <w:qFormat/>
    <w:rsid w:val="00c750d1"/>
    <w:rPr>
      <w:b/>
      <w:i/>
      <w:sz w:val="24"/>
      <w:szCs w:val="24"/>
      <w:u w:val="single"/>
    </w:rPr>
  </w:style>
  <w:style w:type="character" w:styleId="SubtleReference">
    <w:name w:val="Subtle Reference"/>
    <w:qFormat/>
    <w:rsid w:val="00c750d1"/>
    <w:rPr>
      <w:sz w:val="24"/>
      <w:szCs w:val="24"/>
      <w:u w:val="single"/>
    </w:rPr>
  </w:style>
  <w:style w:type="character" w:styleId="IntenseReference">
    <w:name w:val="Intense Reference"/>
    <w:qFormat/>
    <w:rsid w:val="00c750d1"/>
    <w:rPr>
      <w:b/>
      <w:sz w:val="24"/>
      <w:u w:val="single"/>
    </w:rPr>
  </w:style>
  <w:style w:type="character" w:styleId="BookTitle">
    <w:name w:val="Book Title"/>
    <w:uiPriority w:val="33"/>
    <w:qFormat/>
    <w:rsid w:val="00c750d1"/>
    <w:rPr>
      <w:rFonts w:ascii="Arial" w:hAnsi="Arial" w:eastAsia="Times New Roman" w:cs="Arial"/>
      <w:b/>
      <w:i/>
      <w:sz w:val="24"/>
      <w:szCs w:val="24"/>
    </w:rPr>
  </w:style>
  <w:style w:type="character" w:styleId="Internetlink" w:customStyle="1">
    <w:name w:val="Internet link"/>
    <w:qFormat/>
    <w:rsid w:val="00c750d1"/>
    <w:rPr>
      <w:color w:val="000080"/>
      <w:u w:val="single"/>
    </w:rPr>
  </w:style>
  <w:style w:type="character" w:styleId="Style13" w:customStyle="1">
    <w:name w:val="Символ сноски"/>
    <w:qFormat/>
    <w:rsid w:val="00c750d1"/>
    <w:rPr/>
  </w:style>
  <w:style w:type="character" w:styleId="Footnoteanchor" w:customStyle="1">
    <w:name w:val="Footnote anchor"/>
    <w:qFormat/>
    <w:rsid w:val="00c750d1"/>
    <w:rPr>
      <w:vertAlign w:val="superscript"/>
    </w:rPr>
  </w:style>
  <w:style w:type="character" w:styleId="EndnoteSymbol" w:customStyle="1">
    <w:name w:val="Endnote Symbol"/>
    <w:qFormat/>
    <w:rsid w:val="00c750d1"/>
    <w:rPr/>
  </w:style>
  <w:style w:type="character" w:styleId="Endnoteanchor" w:customStyle="1">
    <w:name w:val="Endnote anchor"/>
    <w:qFormat/>
    <w:rsid w:val="00c750d1"/>
    <w:rPr>
      <w:vertAlign w:val="superscript"/>
    </w:rPr>
  </w:style>
  <w:style w:type="character" w:styleId="Style14" w:customStyle="1">
    <w:name w:val="Маркеры списка"/>
    <w:qFormat/>
    <w:rsid w:val="00c750d1"/>
    <w:rPr>
      <w:rFonts w:ascii="OpenSymbol" w:hAnsi="OpenSymbol" w:eastAsia="OpenSymbol" w:cs="OpenSymbol"/>
    </w:rPr>
  </w:style>
  <w:style w:type="character" w:styleId="Style15" w:customStyle="1">
    <w:name w:val="Без интервала Знак"/>
    <w:uiPriority w:val="99"/>
    <w:qFormat/>
    <w:rsid w:val="00f62b2a"/>
    <w:rPr>
      <w:rFonts w:ascii="Arial" w:hAnsi="Arial" w:eastAsia="Times New Roman" w:cs="Times New Roman"/>
      <w:sz w:val="26"/>
      <w:szCs w:val="32"/>
      <w:lang w:eastAsia="zh-CN" w:bidi="en-US"/>
    </w:rPr>
  </w:style>
  <w:style w:type="character" w:styleId="Style16" w:customStyle="1">
    <w:name w:val="Интернет-ссылка"/>
    <w:uiPriority w:val="99"/>
    <w:unhideWhenUsed/>
    <w:rsid w:val="00f62b2a"/>
    <w:rPr>
      <w:color w:val="0000FF"/>
      <w:u w:val="single"/>
    </w:rPr>
  </w:style>
  <w:style w:type="character" w:styleId="Style17" w:customStyle="1">
    <w:name w:val="Абзац Знак"/>
    <w:uiPriority w:val="99"/>
    <w:qFormat/>
    <w:rsid w:val="00f62b2a"/>
    <w:rPr>
      <w:rFonts w:ascii="Calibri" w:hAnsi="Calibri" w:eastAsia="Times New Roman" w:cs="Times New Roman"/>
      <w:sz w:val="24"/>
      <w:szCs w:val="24"/>
    </w:rPr>
  </w:style>
  <w:style w:type="character" w:styleId="Style18" w:customStyle="1">
    <w:name w:val="Абзац списка Знак"/>
    <w:uiPriority w:val="34"/>
    <w:qFormat/>
    <w:locked/>
    <w:rsid w:val="00f62b2a"/>
    <w:rPr>
      <w:rFonts w:ascii="Arial" w:hAnsi="Arial" w:eastAsia="Times New Roman" w:cs="Times New Roman"/>
      <w:sz w:val="26"/>
      <w:szCs w:val="24"/>
      <w:lang w:eastAsia="zh-CN" w:bidi="en-US"/>
    </w:rPr>
  </w:style>
  <w:style w:type="character" w:styleId="Style19" w:customStyle="1">
    <w:name w:val="Основной текст_"/>
    <w:uiPriority w:val="99"/>
    <w:qFormat/>
    <w:rsid w:val="00f62b2a"/>
    <w:rPr>
      <w:rFonts w:ascii="Times New Roman" w:hAnsi="Times New Roman"/>
      <w:sz w:val="27"/>
      <w:szCs w:val="27"/>
      <w:shd w:fill="FFFFFF" w:val="clear"/>
    </w:rPr>
  </w:style>
  <w:style w:type="character" w:styleId="AAA" w:customStyle="1">
    <w:name w:val="! AAA ! Знак"/>
    <w:link w:val="AAA"/>
    <w:uiPriority w:val="99"/>
    <w:qFormat/>
    <w:locked/>
    <w:rsid w:val="00f62b2a"/>
    <w:rPr>
      <w:rFonts w:ascii="Times New Roman" w:hAnsi="Times New Roman" w:eastAsia="Times New Roman" w:cs="Times New Roman"/>
      <w:sz w:val="16"/>
      <w:lang w:eastAsia="ru-RU"/>
    </w:rPr>
  </w:style>
  <w:style w:type="character" w:styleId="Style20" w:customStyle="1">
    <w:name w:val="Основной текст Знак"/>
    <w:basedOn w:val="DefaultParagraphFont"/>
    <w:uiPriority w:val="99"/>
    <w:qFormat/>
    <w:rsid w:val="00f62b2a"/>
    <w:rPr>
      <w:rFonts w:ascii="Times New Roman" w:hAnsi="Times New Roman" w:eastAsia="Times New Roman" w:cs="Times New Roman"/>
      <w:sz w:val="20"/>
      <w:szCs w:val="20"/>
    </w:rPr>
  </w:style>
  <w:style w:type="character" w:styleId="Style21" w:customStyle="1">
    <w:name w:val="Название объекта Знак"/>
    <w:qFormat/>
    <w:locked/>
    <w:rsid w:val="00f62b2a"/>
    <w:rPr>
      <w:rFonts w:ascii="Arial" w:hAnsi="Arial" w:eastAsia="Times New Roman" w:cs="Mangal"/>
      <w:i/>
      <w:iCs/>
      <w:sz w:val="24"/>
      <w:szCs w:val="24"/>
      <w:lang w:eastAsia="zh-CN" w:bidi="en-US"/>
    </w:rPr>
  </w:style>
  <w:style w:type="character" w:styleId="Style22" w:customStyle="1">
    <w:name w:val="Текст Знак"/>
    <w:basedOn w:val="DefaultParagraphFont"/>
    <w:qFormat/>
    <w:rsid w:val="00f62b2a"/>
    <w:rPr>
      <w:rFonts w:ascii="Consolas" w:hAnsi="Consolas" w:eastAsia="Times New Roman" w:cs="Times New Roman"/>
      <w:sz w:val="21"/>
      <w:szCs w:val="21"/>
    </w:rPr>
  </w:style>
  <w:style w:type="character" w:styleId="Style23" w:customStyle="1">
    <w:name w:val="_Обычный Знак"/>
    <w:uiPriority w:val="99"/>
    <w:qFormat/>
    <w:locked/>
    <w:rsid w:val="00f62b2a"/>
    <w:rPr>
      <w:rFonts w:ascii="Times New Roman" w:hAnsi="Times New Roman" w:eastAsia="Times New Roman" w:cs="Times New Roman"/>
      <w:sz w:val="24"/>
      <w:szCs w:val="20"/>
    </w:rPr>
  </w:style>
  <w:style w:type="character" w:styleId="Appleconvertedspace" w:customStyle="1">
    <w:name w:val="apple-converted-space"/>
    <w:qFormat/>
    <w:rsid w:val="00f62b2a"/>
    <w:rPr>
      <w:rFonts w:cs="Times New Roman"/>
    </w:rPr>
  </w:style>
  <w:style w:type="character" w:styleId="MingLiU" w:customStyle="1">
    <w:name w:val="Основной текст + MingLiU"/>
    <w:uiPriority w:val="99"/>
    <w:qFormat/>
    <w:rsid w:val="00f62b2a"/>
    <w:rPr>
      <w:rFonts w:ascii="MingLiU" w:hAnsi="MingLiU" w:eastAsia="MingLiU" w:cs="MingLiU"/>
      <w:color w:val="000000"/>
      <w:spacing w:val="-10"/>
      <w:w w:val="100"/>
      <w:sz w:val="23"/>
      <w:szCs w:val="23"/>
      <w:shd w:fill="FFFFFF" w:val="clear"/>
      <w:lang w:val="ru-RU"/>
    </w:rPr>
  </w:style>
  <w:style w:type="character" w:styleId="32" w:customStyle="1">
    <w:name w:val="Основной текст (3)_"/>
    <w:uiPriority w:val="99"/>
    <w:qFormat/>
    <w:rsid w:val="00f62b2a"/>
    <w:rPr>
      <w:rFonts w:ascii="Times New Roman" w:hAnsi="Times New Roman" w:cs="Times New Roman"/>
      <w:b/>
      <w:bCs/>
      <w:sz w:val="23"/>
      <w:szCs w:val="23"/>
      <w:u w:val="none"/>
    </w:rPr>
  </w:style>
  <w:style w:type="character" w:styleId="33" w:customStyle="1">
    <w:name w:val="Основной текст (3)"/>
    <w:uiPriority w:val="99"/>
    <w:qFormat/>
    <w:rsid w:val="00f62b2a"/>
    <w:rPr>
      <w:rFonts w:ascii="Times New Roman" w:hAnsi="Times New Roman" w:cs="Times New Roman"/>
      <w:b/>
      <w:bCs/>
      <w:sz w:val="23"/>
      <w:szCs w:val="23"/>
      <w:u w:val="none"/>
    </w:rPr>
  </w:style>
  <w:style w:type="character" w:styleId="23" w:customStyle="1">
    <w:name w:val="Основной текст2"/>
    <w:uiPriority w:val="99"/>
    <w:qFormat/>
    <w:rsid w:val="00f62b2a"/>
    <w:rPr>
      <w:rFonts w:ascii="Times New Roman" w:hAnsi="Times New Roman" w:cs="Times New Roman"/>
      <w:color w:val="000000"/>
      <w:spacing w:val="0"/>
      <w:w w:val="100"/>
      <w:sz w:val="25"/>
      <w:szCs w:val="25"/>
      <w:shd w:fill="FFFFFF" w:val="clear"/>
      <w:lang w:val="ru-RU"/>
    </w:rPr>
  </w:style>
  <w:style w:type="character" w:styleId="111" w:customStyle="1">
    <w:name w:val="Основной текст + 11"/>
    <w:link w:val="111"/>
    <w:uiPriority w:val="99"/>
    <w:qFormat/>
    <w:rsid w:val="00f62b2a"/>
    <w:rPr>
      <w:rFonts w:ascii="Times New Roman" w:hAnsi="Times New Roman" w:cs="Times New Roman"/>
      <w:color w:val="000000"/>
      <w:spacing w:val="0"/>
      <w:w w:val="100"/>
      <w:sz w:val="23"/>
      <w:szCs w:val="23"/>
      <w:shd w:fill="FFFFFF" w:val="clear"/>
      <w:lang w:val="ru-RU"/>
    </w:rPr>
  </w:style>
  <w:style w:type="character" w:styleId="92" w:customStyle="1">
    <w:name w:val="Основной текст + 9"/>
    <w:uiPriority w:val="99"/>
    <w:qFormat/>
    <w:rsid w:val="00f62b2a"/>
    <w:rPr>
      <w:rFonts w:ascii="Times New Roman" w:hAnsi="Times New Roman" w:cs="Times New Roman"/>
      <w:color w:val="000000"/>
      <w:spacing w:val="0"/>
      <w:w w:val="100"/>
      <w:sz w:val="19"/>
      <w:szCs w:val="19"/>
      <w:shd w:fill="FFFFFF" w:val="clear"/>
      <w:lang w:val="ru-RU"/>
    </w:rPr>
  </w:style>
  <w:style w:type="character" w:styleId="42" w:customStyle="1">
    <w:name w:val="Основной текст4"/>
    <w:link w:val="42"/>
    <w:uiPriority w:val="99"/>
    <w:qFormat/>
    <w:rsid w:val="00f62b2a"/>
    <w:rPr>
      <w:rFonts w:ascii="Times New Roman" w:hAnsi="Times New Roman" w:cs="Times New Roman"/>
      <w:color w:val="000000"/>
      <w:spacing w:val="0"/>
      <w:w w:val="100"/>
      <w:sz w:val="25"/>
      <w:szCs w:val="25"/>
      <w:shd w:fill="FFFFFF" w:val="clear"/>
      <w:lang w:val="ru-RU"/>
    </w:rPr>
  </w:style>
  <w:style w:type="character" w:styleId="8pt" w:customStyle="1">
    <w:name w:val="Основной текст + 8 pt"/>
    <w:uiPriority w:val="99"/>
    <w:qFormat/>
    <w:rsid w:val="00f62b2a"/>
    <w:rPr>
      <w:rFonts w:ascii="Times New Roman" w:hAnsi="Times New Roman" w:cs="Times New Roman"/>
      <w:color w:val="000000"/>
      <w:spacing w:val="0"/>
      <w:w w:val="100"/>
      <w:sz w:val="16"/>
      <w:szCs w:val="16"/>
      <w:shd w:fill="FFFFFF" w:val="clear"/>
      <w:lang w:val="ru-RU"/>
    </w:rPr>
  </w:style>
  <w:style w:type="character" w:styleId="Style24" w:customStyle="1">
    <w:name w:val="Основной текст + Малые прописные"/>
    <w:uiPriority w:val="99"/>
    <w:qFormat/>
    <w:rsid w:val="00f62b2a"/>
    <w:rPr>
      <w:rFonts w:ascii="Times New Roman" w:hAnsi="Times New Roman" w:cs="Times New Roman"/>
      <w:smallCaps/>
      <w:color w:val="000000"/>
      <w:spacing w:val="0"/>
      <w:w w:val="100"/>
      <w:sz w:val="25"/>
      <w:szCs w:val="25"/>
      <w:shd w:fill="FFFFFF" w:val="clear"/>
      <w:lang w:val="ru-RU"/>
    </w:rPr>
  </w:style>
  <w:style w:type="character" w:styleId="43" w:customStyle="1">
    <w:name w:val="Подпись к таблице (4)_"/>
    <w:link w:val="43"/>
    <w:uiPriority w:val="99"/>
    <w:qFormat/>
    <w:locked/>
    <w:rsid w:val="00f62b2a"/>
    <w:rPr>
      <w:rFonts w:ascii="MS Gothic" w:hAnsi="MS Gothic" w:eastAsia="MS Gothic" w:cs="MS Gothic"/>
      <w:i/>
      <w:iCs/>
      <w:sz w:val="15"/>
      <w:szCs w:val="15"/>
      <w:shd w:fill="FFFFFF" w:val="clear"/>
    </w:rPr>
  </w:style>
  <w:style w:type="character" w:styleId="52" w:customStyle="1">
    <w:name w:val="Основной текст5"/>
    <w:uiPriority w:val="99"/>
    <w:qFormat/>
    <w:rsid w:val="00f62b2a"/>
    <w:rPr>
      <w:rFonts w:ascii="Times New Roman" w:hAnsi="Times New Roman" w:cs="Times New Roman"/>
      <w:color w:val="000000"/>
      <w:spacing w:val="0"/>
      <w:w w:val="100"/>
      <w:sz w:val="25"/>
      <w:szCs w:val="25"/>
      <w:shd w:fill="FFFFFF" w:val="clear"/>
      <w:lang w:val="ru-RU"/>
    </w:rPr>
  </w:style>
  <w:style w:type="character" w:styleId="Style25" w:customStyle="1">
    <w:name w:val="Схема документа Знак"/>
    <w:basedOn w:val="DefaultParagraphFont"/>
    <w:uiPriority w:val="99"/>
    <w:semiHidden/>
    <w:qFormat/>
    <w:rsid w:val="00f62b2a"/>
    <w:rPr>
      <w:rFonts w:ascii="Tahoma" w:hAnsi="Tahoma" w:eastAsia="Times New Roman" w:cs="Times New Roman"/>
      <w:sz w:val="16"/>
      <w:szCs w:val="16"/>
    </w:rPr>
  </w:style>
  <w:style w:type="character" w:styleId="34" w:customStyle="1">
    <w:name w:val="Основной текст с отступом 3 Знак"/>
    <w:basedOn w:val="DefaultParagraphFont"/>
    <w:link w:val="33"/>
    <w:uiPriority w:val="99"/>
    <w:semiHidden/>
    <w:qFormat/>
    <w:rsid w:val="00f62b2a"/>
    <w:rPr>
      <w:rFonts w:ascii="Calibri" w:hAnsi="Calibri" w:eastAsia="Times New Roman" w:cs="Times New Roman"/>
      <w:sz w:val="16"/>
      <w:szCs w:val="16"/>
    </w:rPr>
  </w:style>
  <w:style w:type="character" w:styleId="Style26" w:customStyle="1">
    <w:name w:val="Основной текст с отступом Знак"/>
    <w:basedOn w:val="DefaultParagraphFont"/>
    <w:uiPriority w:val="99"/>
    <w:qFormat/>
    <w:rsid w:val="00f62b2a"/>
    <w:rPr>
      <w:rFonts w:ascii="Times New Roman" w:hAnsi="Times New Roman" w:eastAsia="Times New Roman" w:cs="Times New Roman"/>
      <w:sz w:val="28"/>
      <w:lang w:eastAsia="ru-RU"/>
    </w:rPr>
  </w:style>
  <w:style w:type="character" w:styleId="24" w:customStyle="1">
    <w:name w:val="Основной текст 2 Знак"/>
    <w:basedOn w:val="DefaultParagraphFont"/>
    <w:link w:val="25"/>
    <w:uiPriority w:val="99"/>
    <w:qFormat/>
    <w:rsid w:val="00f62b2a"/>
    <w:rPr>
      <w:rFonts w:ascii="Times New Roman" w:hAnsi="Times New Roman" w:eastAsia="Times New Roman" w:cs="Times New Roman"/>
      <w:sz w:val="28"/>
      <w:lang w:eastAsia="ru-RU"/>
    </w:rPr>
  </w:style>
  <w:style w:type="character" w:styleId="25" w:customStyle="1">
    <w:name w:val="Основной текст с отступом 2 Знак"/>
    <w:basedOn w:val="DefaultParagraphFont"/>
    <w:link w:val="24"/>
    <w:uiPriority w:val="99"/>
    <w:qFormat/>
    <w:rsid w:val="00f62b2a"/>
    <w:rPr>
      <w:rFonts w:ascii="Times New Roman" w:hAnsi="Times New Roman" w:eastAsia="Times New Roman" w:cs="Times New Roman"/>
      <w:sz w:val="28"/>
      <w:szCs w:val="20"/>
    </w:rPr>
  </w:style>
  <w:style w:type="character" w:styleId="FollowedHyperlink">
    <w:name w:val="FollowedHyperlink"/>
    <w:unhideWhenUsed/>
    <w:qFormat/>
    <w:rsid w:val="00f62b2a"/>
    <w:rPr>
      <w:color w:val="800080"/>
      <w:u w:val="single"/>
    </w:rPr>
  </w:style>
  <w:style w:type="character" w:styleId="PlaceholderText">
    <w:name w:val="Placeholder Text"/>
    <w:uiPriority w:val="99"/>
    <w:semiHidden/>
    <w:qFormat/>
    <w:rsid w:val="00f62b2a"/>
    <w:rPr>
      <w:color w:val="808080"/>
    </w:rPr>
  </w:style>
  <w:style w:type="character" w:styleId="Annotationreference">
    <w:name w:val="annotation reference"/>
    <w:uiPriority w:val="99"/>
    <w:semiHidden/>
    <w:unhideWhenUsed/>
    <w:qFormat/>
    <w:rsid w:val="00f62b2a"/>
    <w:rPr>
      <w:sz w:val="16"/>
      <w:szCs w:val="16"/>
    </w:rPr>
  </w:style>
  <w:style w:type="character" w:styleId="Style27" w:customStyle="1">
    <w:name w:val="Текст примечания Знак"/>
    <w:basedOn w:val="DefaultParagraphFont"/>
    <w:uiPriority w:val="99"/>
    <w:semiHidden/>
    <w:qFormat/>
    <w:rsid w:val="00f62b2a"/>
    <w:rPr>
      <w:rFonts w:ascii="Calibri" w:hAnsi="Calibri" w:eastAsia="Times New Roman" w:cs="Times New Roman"/>
      <w:sz w:val="20"/>
      <w:szCs w:val="20"/>
    </w:rPr>
  </w:style>
  <w:style w:type="character" w:styleId="Style28" w:customStyle="1">
    <w:name w:val="Тема примечания Знак"/>
    <w:basedOn w:val="Style27"/>
    <w:uiPriority w:val="99"/>
    <w:semiHidden/>
    <w:qFormat/>
    <w:rsid w:val="00f62b2a"/>
    <w:rPr>
      <w:rFonts w:ascii="Calibri" w:hAnsi="Calibri" w:eastAsia="Times New Roman" w:cs="Times New Roman"/>
      <w:b/>
      <w:bCs/>
      <w:sz w:val="20"/>
      <w:szCs w:val="20"/>
    </w:rPr>
  </w:style>
  <w:style w:type="character" w:styleId="L4" w:customStyle="1">
    <w:name w:val="! L=4 ! Знак"/>
    <w:qFormat/>
    <w:rsid w:val="00f62b2a"/>
    <w:rPr>
      <w:rFonts w:ascii="Times New Roman" w:hAnsi="Times New Roman" w:eastAsia="Times New Roman" w:cs="Times New Roman"/>
      <w:b/>
      <w:i/>
      <w:sz w:val="24"/>
      <w:szCs w:val="16"/>
      <w:lang w:val="ru-RU" w:eastAsia="ru-RU" w:bidi="ar-SA"/>
    </w:rPr>
  </w:style>
  <w:style w:type="character" w:styleId="Pagenumber">
    <w:name w:val="page number"/>
    <w:basedOn w:val="DefaultParagraphFont"/>
    <w:qFormat/>
    <w:rsid w:val="00f62b2a"/>
    <w:rPr/>
  </w:style>
  <w:style w:type="character" w:styleId="Strong">
    <w:name w:val="Strong"/>
    <w:uiPriority w:val="22"/>
    <w:qFormat/>
    <w:rsid w:val="00f62b2a"/>
    <w:rPr>
      <w:b/>
      <w:bCs/>
    </w:rPr>
  </w:style>
  <w:style w:type="character" w:styleId="Style29" w:customStyle="1">
    <w:name w:val="Заголовок Знак"/>
    <w:basedOn w:val="DefaultParagraphFont"/>
    <w:qFormat/>
    <w:rsid w:val="00077cba"/>
    <w:rPr>
      <w:rFonts w:ascii="Times New Roman" w:hAnsi="Times New Roman" w:eastAsia="Times New Roman" w:cs="Times New Roman"/>
      <w:b/>
      <w:sz w:val="28"/>
      <w:szCs w:val="24"/>
      <w:lang w:eastAsia="ru-RU"/>
    </w:rPr>
  </w:style>
  <w:style w:type="character" w:styleId="Style30" w:customStyle="1">
    <w:name w:val="Обычный без отступа Знак"/>
    <w:basedOn w:val="DefaultParagraphFont"/>
    <w:qFormat/>
    <w:locked/>
    <w:rsid w:val="00077cba"/>
    <w:rPr>
      <w:rFonts w:eastAsia="Calibri"/>
      <w:sz w:val="28"/>
      <w:szCs w:val="28"/>
    </w:rPr>
  </w:style>
  <w:style w:type="character" w:styleId="12" w:customStyle="1">
    <w:name w:val="1. Знак"/>
    <w:basedOn w:val="Style18"/>
    <w:link w:val="1"/>
    <w:qFormat/>
    <w:rsid w:val="005a6e37"/>
    <w:rPr>
      <w:rFonts w:ascii="Arial" w:hAnsi="Arial" w:eastAsia="Times New Roman" w:cs="Arial"/>
      <w:b/>
      <w:sz w:val="26"/>
      <w:szCs w:val="26"/>
      <w:lang w:eastAsia="ru-RU" w:bidi="en-US"/>
    </w:rPr>
  </w:style>
  <w:style w:type="character" w:styleId="112" w:customStyle="1">
    <w:name w:val="1.1. Знак"/>
    <w:basedOn w:val="Style18"/>
    <w:link w:val="10"/>
    <w:qFormat/>
    <w:rsid w:val="00077cba"/>
    <w:rPr>
      <w:rFonts w:ascii="Times New Roman" w:hAnsi="Times New Roman" w:eastAsia="Times New Roman" w:cs="Times New Roman"/>
      <w:b/>
      <w:sz w:val="28"/>
      <w:szCs w:val="24"/>
      <w:lang w:eastAsia="ru-RU" w:bidi="en-US"/>
    </w:rPr>
  </w:style>
  <w:style w:type="character" w:styleId="Style31" w:customStyle="1">
    <w:name w:val="Название рисунка Знак"/>
    <w:basedOn w:val="DefaultParagraphFont"/>
    <w:qFormat/>
    <w:rsid w:val="00077cba"/>
    <w:rPr>
      <w:rFonts w:ascii="Times New Roman" w:hAnsi="Times New Roman" w:eastAsia="Times New Roman" w:cs="Times New Roman"/>
      <w:bCs/>
      <w:sz w:val="28"/>
      <w:szCs w:val="18"/>
      <w:lang w:eastAsia="ru-RU"/>
    </w:rPr>
  </w:style>
  <w:style w:type="character" w:styleId="Style32" w:customStyle="1">
    <w:name w:val="Название таблицы Знак"/>
    <w:basedOn w:val="DefaultParagraphFont"/>
    <w:qFormat/>
    <w:rsid w:val="00077cba"/>
    <w:rPr>
      <w:rFonts w:ascii="Times New Roman" w:hAnsi="Times New Roman" w:eastAsia="Times New Roman" w:cs="Times New Roman"/>
      <w:bCs/>
      <w:sz w:val="28"/>
      <w:szCs w:val="18"/>
      <w:lang w:eastAsia="ru-RU"/>
    </w:rPr>
  </w:style>
  <w:style w:type="character" w:styleId="Style33" w:customStyle="1">
    <w:name w:val="Таблица Знак"/>
    <w:basedOn w:val="DefaultParagraphFont"/>
    <w:qFormat/>
    <w:rsid w:val="00077cba"/>
    <w:rPr>
      <w:rFonts w:ascii="Times New Roman" w:hAnsi="Times New Roman" w:eastAsia="" w:cs="Times New Roman" w:eastAsiaTheme="minorEastAsia"/>
      <w:sz w:val="28"/>
      <w:szCs w:val="20"/>
      <w:lang w:eastAsia="ru-RU"/>
    </w:rPr>
  </w:style>
  <w:style w:type="character" w:styleId="Style34" w:customStyle="1">
    <w:name w:val="Текст (сновной) Знак"/>
    <w:basedOn w:val="DefaultParagraphFont"/>
    <w:qFormat/>
    <w:locked/>
    <w:rsid w:val="00077cba"/>
    <w:rPr>
      <w:sz w:val="28"/>
      <w:szCs w:val="28"/>
      <w:lang w:eastAsia="ru-RU"/>
    </w:rPr>
  </w:style>
  <w:style w:type="character" w:styleId="13" w:customStyle="1">
    <w:name w:val="Текст примечания Знак1"/>
    <w:basedOn w:val="DefaultParagraphFont"/>
    <w:link w:val="10"/>
    <w:uiPriority w:val="99"/>
    <w:semiHidden/>
    <w:qFormat/>
    <w:rsid w:val="00077cba"/>
    <w:rPr>
      <w:rFonts w:ascii="Times New Roman" w:hAnsi="Times New Roman" w:eastAsia="Times New Roman" w:cs="Times New Roman"/>
      <w:sz w:val="20"/>
      <w:szCs w:val="20"/>
      <w:lang w:eastAsia="ru-RU"/>
    </w:rPr>
  </w:style>
  <w:style w:type="character" w:styleId="113" w:customStyle="1">
    <w:name w:val="Заголовок 1 Знак1"/>
    <w:basedOn w:val="13"/>
    <w:link w:val="1"/>
    <w:uiPriority w:val="99"/>
    <w:semiHidden/>
    <w:qFormat/>
    <w:rsid w:val="00077cba"/>
    <w:rPr>
      <w:rFonts w:ascii="Times New Roman" w:hAnsi="Times New Roman" w:eastAsia="Times New Roman" w:cs="Times New Roman"/>
      <w:b/>
      <w:bCs/>
      <w:sz w:val="20"/>
      <w:szCs w:val="20"/>
      <w:lang w:eastAsia="ru-RU"/>
    </w:rPr>
  </w:style>
  <w:style w:type="character" w:styleId="14" w:customStyle="1">
    <w:name w:val="Стиль1 Знак"/>
    <w:basedOn w:val="112"/>
    <w:qFormat/>
    <w:rsid w:val="00077cba"/>
    <w:rPr>
      <w:rFonts w:ascii="Times New Roman" w:hAnsi="Times New Roman" w:eastAsia="Times New Roman" w:cs="Times New Roman"/>
      <w:b/>
      <w:sz w:val="28"/>
      <w:szCs w:val="24"/>
      <w:lang w:eastAsia="ru-RU" w:bidi="en-US"/>
    </w:rPr>
  </w:style>
  <w:style w:type="character" w:styleId="ListLabel1" w:customStyle="1">
    <w:name w:val="ListLabel 1"/>
    <w:qFormat/>
    <w:rsid w:val="003b7bef"/>
    <w:rPr>
      <w:sz w:val="24"/>
    </w:rPr>
  </w:style>
  <w:style w:type="character" w:styleId="ListLabel2" w:customStyle="1">
    <w:name w:val="ListLabel 2"/>
    <w:qFormat/>
    <w:rsid w:val="003b7bef"/>
    <w:rPr>
      <w:sz w:val="24"/>
    </w:rPr>
  </w:style>
  <w:style w:type="character" w:styleId="ListLabel3" w:customStyle="1">
    <w:name w:val="ListLabel 3"/>
    <w:qFormat/>
    <w:rsid w:val="003b7bef"/>
    <w:rPr>
      <w:sz w:val="24"/>
    </w:rPr>
  </w:style>
  <w:style w:type="character" w:styleId="ListLabel4" w:customStyle="1">
    <w:name w:val="ListLabel 4"/>
    <w:qFormat/>
    <w:rsid w:val="003b7bef"/>
    <w:rPr>
      <w:sz w:val="24"/>
    </w:rPr>
  </w:style>
  <w:style w:type="character" w:styleId="ListLabel5" w:customStyle="1">
    <w:name w:val="ListLabel 5"/>
    <w:qFormat/>
    <w:rsid w:val="003b7bef"/>
    <w:rPr>
      <w:sz w:val="24"/>
    </w:rPr>
  </w:style>
  <w:style w:type="character" w:styleId="ListLabel6" w:customStyle="1">
    <w:name w:val="ListLabel 6"/>
    <w:qFormat/>
    <w:rsid w:val="003b7bef"/>
    <w:rPr>
      <w:sz w:val="24"/>
    </w:rPr>
  </w:style>
  <w:style w:type="character" w:styleId="ListLabel7" w:customStyle="1">
    <w:name w:val="ListLabel 7"/>
    <w:qFormat/>
    <w:rsid w:val="003b7bef"/>
    <w:rPr>
      <w:b/>
      <w:bCs w:val="false"/>
      <w:i w:val="false"/>
      <w:iCs w:val="false"/>
      <w:caps w:val="false"/>
      <w:smallCaps w:val="false"/>
      <w:strike w:val="false"/>
      <w:dstrike w:val="false"/>
      <w:outline w:val="false"/>
      <w:shadow w:val="false"/>
      <w:emboss w:val="false"/>
      <w:imprint w:val="false"/>
      <w:vanish w:val="false"/>
      <w:spacing w:val="0"/>
      <w:position w:val="0"/>
      <w:sz w:val="26"/>
      <w:sz w:val="26"/>
      <w:u w:val="none"/>
      <w:effect w:val="none"/>
      <w:vertAlign w:val="baseline"/>
      <w:em w:val="none"/>
    </w:rPr>
  </w:style>
  <w:style w:type="character" w:styleId="ListLabel8" w:customStyle="1">
    <w:name w:val="ListLabel 8"/>
    <w:qFormat/>
    <w:rsid w:val="003b7bef"/>
    <w:rPr>
      <w:i w:val="false"/>
    </w:rPr>
  </w:style>
  <w:style w:type="character" w:styleId="ListLabel9" w:customStyle="1">
    <w:name w:val="ListLabel 9"/>
    <w:qFormat/>
    <w:rsid w:val="003b7bef"/>
    <w:rPr>
      <w:rFonts w:cs="Courier New"/>
    </w:rPr>
  </w:style>
  <w:style w:type="character" w:styleId="ListLabel10" w:customStyle="1">
    <w:name w:val="ListLabel 10"/>
    <w:qFormat/>
    <w:rsid w:val="003b7bef"/>
    <w:rPr>
      <w:rFonts w:cs="Courier New"/>
    </w:rPr>
  </w:style>
  <w:style w:type="character" w:styleId="ListLabel11" w:customStyle="1">
    <w:name w:val="ListLabel 11"/>
    <w:qFormat/>
    <w:rsid w:val="003b7bef"/>
    <w:rPr>
      <w:rFonts w:cs="Courier New"/>
    </w:rPr>
  </w:style>
  <w:style w:type="character" w:styleId="ListLabel12" w:customStyle="1">
    <w:name w:val="ListLabel 12"/>
    <w:qFormat/>
    <w:rsid w:val="003b7bef"/>
    <w:rPr>
      <w:rFonts w:cs="Courier New"/>
    </w:rPr>
  </w:style>
  <w:style w:type="character" w:styleId="ListLabel13" w:customStyle="1">
    <w:name w:val="ListLabel 13"/>
    <w:qFormat/>
    <w:rsid w:val="003b7bef"/>
    <w:rPr>
      <w:rFonts w:cs="Courier New"/>
    </w:rPr>
  </w:style>
  <w:style w:type="character" w:styleId="ListLabel14" w:customStyle="1">
    <w:name w:val="ListLabel 14"/>
    <w:qFormat/>
    <w:rsid w:val="003b7bef"/>
    <w:rPr>
      <w:rFonts w:cs="Courier New"/>
    </w:rPr>
  </w:style>
  <w:style w:type="character" w:styleId="ListLabel15" w:customStyle="1">
    <w:name w:val="ListLabel 15"/>
    <w:qFormat/>
    <w:rsid w:val="003b7bef"/>
    <w:rPr>
      <w:rFonts w:cs="Courier New"/>
    </w:rPr>
  </w:style>
  <w:style w:type="character" w:styleId="ListLabel16" w:customStyle="1">
    <w:name w:val="ListLabel 16"/>
    <w:qFormat/>
    <w:rsid w:val="003b7bef"/>
    <w:rPr>
      <w:rFonts w:cs="Courier New"/>
    </w:rPr>
  </w:style>
  <w:style w:type="character" w:styleId="ListLabel17" w:customStyle="1">
    <w:name w:val="ListLabel 17"/>
    <w:qFormat/>
    <w:rsid w:val="003b7bef"/>
    <w:rPr>
      <w:rFonts w:cs="Courier New"/>
    </w:rPr>
  </w:style>
  <w:style w:type="character" w:styleId="ListLabel18" w:customStyle="1">
    <w:name w:val="ListLabel 18"/>
    <w:qFormat/>
    <w:rsid w:val="003b7bef"/>
    <w:rPr>
      <w:rFonts w:cs="Courier New"/>
    </w:rPr>
  </w:style>
  <w:style w:type="character" w:styleId="ListLabel19" w:customStyle="1">
    <w:name w:val="ListLabel 19"/>
    <w:qFormat/>
    <w:rsid w:val="003b7bef"/>
    <w:rPr>
      <w:rFonts w:cs="Courier New"/>
    </w:rPr>
  </w:style>
  <w:style w:type="character" w:styleId="ListLabel20" w:customStyle="1">
    <w:name w:val="ListLabel 20"/>
    <w:qFormat/>
    <w:rsid w:val="003b7bef"/>
    <w:rPr>
      <w:rFonts w:cs="Courier New"/>
    </w:rPr>
  </w:style>
  <w:style w:type="character" w:styleId="ListLabel21" w:customStyle="1">
    <w:name w:val="ListLabel 21"/>
    <w:qFormat/>
    <w:rsid w:val="003b7bef"/>
    <w:rPr>
      <w:rFonts w:cs="Courier New"/>
    </w:rPr>
  </w:style>
  <w:style w:type="character" w:styleId="ListLabel22" w:customStyle="1">
    <w:name w:val="ListLabel 22"/>
    <w:qFormat/>
    <w:rsid w:val="003b7bef"/>
    <w:rPr>
      <w:rFonts w:cs="Courier New"/>
    </w:rPr>
  </w:style>
  <w:style w:type="character" w:styleId="ListLabel23" w:customStyle="1">
    <w:name w:val="ListLabel 23"/>
    <w:qFormat/>
    <w:rsid w:val="003b7bef"/>
    <w:rPr>
      <w:rFonts w:cs="Courier New"/>
    </w:rPr>
  </w:style>
  <w:style w:type="character" w:styleId="ListLabel24" w:customStyle="1">
    <w:name w:val="ListLabel 24"/>
    <w:qFormat/>
    <w:rsid w:val="003b7bef"/>
    <w:rPr>
      <w:rFonts w:cs="Courier New"/>
    </w:rPr>
  </w:style>
  <w:style w:type="character" w:styleId="ListLabel25" w:customStyle="1">
    <w:name w:val="ListLabel 25"/>
    <w:qFormat/>
    <w:rsid w:val="003b7bef"/>
    <w:rPr>
      <w:rFonts w:cs="Courier New"/>
    </w:rPr>
  </w:style>
  <w:style w:type="character" w:styleId="ListLabel26" w:customStyle="1">
    <w:name w:val="ListLabel 26"/>
    <w:qFormat/>
    <w:rsid w:val="003b7bef"/>
    <w:rPr>
      <w:rFonts w:cs="Courier New"/>
    </w:rPr>
  </w:style>
  <w:style w:type="character" w:styleId="ListLabel27" w:customStyle="1">
    <w:name w:val="ListLabel 27"/>
    <w:qFormat/>
    <w:rsid w:val="003b7bef"/>
    <w:rPr>
      <w:b w:val="false"/>
      <w:bCs w:val="false"/>
      <w:i w:val="false"/>
      <w:iCs w:val="false"/>
      <w:caps w:val="false"/>
      <w:smallCaps w:val="false"/>
      <w:strike w:val="false"/>
      <w:dstrike w:val="false"/>
      <w:outline w:val="false"/>
      <w:shadow w:val="false"/>
      <w:emboss w:val="false"/>
      <w:imprint w:val="false"/>
      <w:vanish w:val="false"/>
      <w:spacing w:val="0"/>
      <w:position w:val="0"/>
      <w:sz w:val="26"/>
      <w:sz w:val="26"/>
      <w:u w:val="none"/>
      <w:effect w:val="none"/>
      <w:vertAlign w:val="baseline"/>
      <w:em w:val="none"/>
    </w:rPr>
  </w:style>
  <w:style w:type="character" w:styleId="ListLabel28" w:customStyle="1">
    <w:name w:val="ListLabel 28"/>
    <w:qFormat/>
    <w:rsid w:val="003b7bef"/>
    <w:rPr>
      <w:i w:val="false"/>
    </w:rPr>
  </w:style>
  <w:style w:type="character" w:styleId="ListLabel29" w:customStyle="1">
    <w:name w:val="ListLabel 29"/>
    <w:qFormat/>
    <w:rsid w:val="003b7bef"/>
    <w:rPr>
      <w:rFonts w:cs="Courier New"/>
    </w:rPr>
  </w:style>
  <w:style w:type="character" w:styleId="ListLabel30" w:customStyle="1">
    <w:name w:val="ListLabel 30"/>
    <w:qFormat/>
    <w:rsid w:val="003b7bef"/>
    <w:rPr>
      <w:rFonts w:cs="Courier New"/>
    </w:rPr>
  </w:style>
  <w:style w:type="character" w:styleId="ListLabel31" w:customStyle="1">
    <w:name w:val="ListLabel 31"/>
    <w:qFormat/>
    <w:rsid w:val="003b7bef"/>
    <w:rPr>
      <w:rFonts w:cs="Courier New"/>
    </w:rPr>
  </w:style>
  <w:style w:type="character" w:styleId="ListLabel32" w:customStyle="1">
    <w:name w:val="ListLabel 32"/>
    <w:qFormat/>
    <w:rsid w:val="003b7bef"/>
    <w:rPr>
      <w:rFonts w:cs="Courier New"/>
    </w:rPr>
  </w:style>
  <w:style w:type="character" w:styleId="ListLabel33" w:customStyle="1">
    <w:name w:val="ListLabel 33"/>
    <w:qFormat/>
    <w:rsid w:val="003b7bef"/>
    <w:rPr>
      <w:rFonts w:cs="Courier New"/>
    </w:rPr>
  </w:style>
  <w:style w:type="character" w:styleId="ListLabel34" w:customStyle="1">
    <w:name w:val="ListLabel 34"/>
    <w:qFormat/>
    <w:rsid w:val="003b7bef"/>
    <w:rPr>
      <w:rFonts w:cs="Courier New"/>
    </w:rPr>
  </w:style>
  <w:style w:type="character" w:styleId="ListLabel35" w:customStyle="1">
    <w:name w:val="ListLabel 35"/>
    <w:qFormat/>
    <w:rsid w:val="003b7bef"/>
    <w:rPr>
      <w:b/>
      <w:bCs w:val="false"/>
      <w:i w:val="false"/>
      <w:iCs w:val="false"/>
      <w:caps w:val="false"/>
      <w:smallCaps w:val="false"/>
      <w:strike w:val="false"/>
      <w:dstrike w:val="false"/>
      <w:outline w:val="false"/>
      <w:shadow w:val="false"/>
      <w:emboss w:val="false"/>
      <w:imprint w:val="false"/>
      <w:vanish w:val="false"/>
      <w:spacing w:val="0"/>
      <w:position w:val="0"/>
      <w:sz w:val="26"/>
      <w:sz w:val="26"/>
      <w:u w:val="none"/>
      <w:effect w:val="none"/>
      <w:vertAlign w:val="baseline"/>
      <w:em w:val="none"/>
    </w:rPr>
  </w:style>
  <w:style w:type="character" w:styleId="ListLabel36" w:customStyle="1">
    <w:name w:val="ListLabel 36"/>
    <w:qFormat/>
    <w:rsid w:val="003b7bef"/>
    <w:rPr>
      <w:i w:val="false"/>
    </w:rPr>
  </w:style>
  <w:style w:type="character" w:styleId="ListLabel37" w:customStyle="1">
    <w:name w:val="ListLabel 37"/>
    <w:qFormat/>
    <w:rsid w:val="003b7bef"/>
    <w:rPr>
      <w:b w:val="false"/>
      <w:bCs w:val="false"/>
      <w:i w:val="false"/>
      <w:iCs w:val="false"/>
      <w:caps w:val="false"/>
      <w:smallCaps w:val="false"/>
      <w:strike w:val="false"/>
      <w:dstrike w:val="false"/>
      <w:outline w:val="false"/>
      <w:shadow w:val="false"/>
      <w:emboss w:val="false"/>
      <w:imprint w:val="false"/>
      <w:vanish w:val="false"/>
      <w:spacing w:val="0"/>
      <w:position w:val="0"/>
      <w:sz w:val="26"/>
      <w:sz w:val="26"/>
      <w:u w:val="none"/>
      <w:effect w:val="none"/>
      <w:vertAlign w:val="baseline"/>
      <w:em w:val="none"/>
    </w:rPr>
  </w:style>
  <w:style w:type="character" w:styleId="ListLabel38" w:customStyle="1">
    <w:name w:val="ListLabel 38"/>
    <w:qFormat/>
    <w:rsid w:val="003b7bef"/>
    <w:rPr>
      <w:i w:val="false"/>
    </w:rPr>
  </w:style>
  <w:style w:type="character" w:styleId="ListLabel39" w:customStyle="1">
    <w:name w:val="ListLabel 39"/>
    <w:qFormat/>
    <w:rsid w:val="003b7bef"/>
    <w:rPr>
      <w:b/>
      <w:bCs w:val="false"/>
      <w:i w:val="false"/>
      <w:iCs w:val="false"/>
      <w:caps w:val="false"/>
      <w:smallCaps w:val="false"/>
      <w:strike w:val="false"/>
      <w:dstrike w:val="false"/>
      <w:outline w:val="false"/>
      <w:shadow w:val="false"/>
      <w:emboss w:val="false"/>
      <w:imprint w:val="false"/>
      <w:vanish w:val="false"/>
      <w:spacing w:val="0"/>
      <w:position w:val="0"/>
      <w:sz w:val="26"/>
      <w:sz w:val="26"/>
      <w:u w:val="none"/>
      <w:effect w:val="none"/>
      <w:vertAlign w:val="baseline"/>
      <w:em w:val="none"/>
    </w:rPr>
  </w:style>
  <w:style w:type="character" w:styleId="ListLabel40" w:customStyle="1">
    <w:name w:val="ListLabel 40"/>
    <w:qFormat/>
    <w:rsid w:val="003b7bef"/>
    <w:rPr>
      <w:i w:val="false"/>
    </w:rPr>
  </w:style>
  <w:style w:type="character" w:styleId="ListLabel41" w:customStyle="1">
    <w:name w:val="ListLabel 41"/>
    <w:qFormat/>
    <w:rsid w:val="003b7bef"/>
    <w:rPr>
      <w:b w:val="false"/>
      <w:bCs w:val="false"/>
      <w:i w:val="false"/>
      <w:iCs w:val="false"/>
      <w:caps w:val="false"/>
      <w:smallCaps w:val="false"/>
      <w:strike w:val="false"/>
      <w:dstrike w:val="false"/>
      <w:outline w:val="false"/>
      <w:shadow w:val="false"/>
      <w:emboss w:val="false"/>
      <w:imprint w:val="false"/>
      <w:vanish w:val="false"/>
      <w:spacing w:val="0"/>
      <w:position w:val="0"/>
      <w:sz w:val="26"/>
      <w:sz w:val="26"/>
      <w:u w:val="none"/>
      <w:effect w:val="none"/>
      <w:vertAlign w:val="baseline"/>
      <w:em w:val="none"/>
    </w:rPr>
  </w:style>
  <w:style w:type="character" w:styleId="ListLabel42" w:customStyle="1">
    <w:name w:val="ListLabel 42"/>
    <w:qFormat/>
    <w:rsid w:val="003b7bef"/>
    <w:rPr>
      <w:i w:val="false"/>
    </w:rPr>
  </w:style>
  <w:style w:type="character" w:styleId="ListLabel43">
    <w:name w:val="ListLabel 43"/>
    <w:qFormat/>
    <w:rPr>
      <w:b/>
      <w:bCs w:val="false"/>
      <w:i w:val="false"/>
      <w:iCs w:val="false"/>
      <w:caps w:val="false"/>
      <w:smallCaps w:val="false"/>
      <w:strike w:val="false"/>
      <w:dstrike w:val="false"/>
      <w:outline w:val="false"/>
      <w:shadow w:val="false"/>
      <w:emboss w:val="false"/>
      <w:imprint w:val="false"/>
      <w:vanish w:val="false"/>
      <w:spacing w:val="0"/>
      <w:position w:val="0"/>
      <w:sz w:val="26"/>
      <w:sz w:val="26"/>
      <w:u w:val="none"/>
      <w:effect w:val="none"/>
      <w:vertAlign w:val="baseline"/>
      <w:em w:val="none"/>
    </w:rPr>
  </w:style>
  <w:style w:type="character" w:styleId="ListLabel44">
    <w:name w:val="ListLabel 44"/>
    <w:qFormat/>
    <w:rPr>
      <w:i w:val="false"/>
    </w:rPr>
  </w:style>
  <w:style w:type="character" w:styleId="ListLabel45">
    <w:name w:val="ListLabel 45"/>
    <w:qFormat/>
    <w:rPr>
      <w:b w:val="false"/>
      <w:bCs w:val="false"/>
      <w:i w:val="false"/>
      <w:iCs w:val="false"/>
      <w:caps w:val="false"/>
      <w:smallCaps w:val="false"/>
      <w:strike w:val="false"/>
      <w:dstrike w:val="false"/>
      <w:outline w:val="false"/>
      <w:shadow w:val="false"/>
      <w:emboss w:val="false"/>
      <w:imprint w:val="false"/>
      <w:vanish w:val="false"/>
      <w:spacing w:val="0"/>
      <w:position w:val="0"/>
      <w:sz w:val="26"/>
      <w:sz w:val="26"/>
      <w:u w:val="none"/>
      <w:effect w:val="none"/>
      <w:vertAlign w:val="baseline"/>
      <w:em w:val="none"/>
    </w:rPr>
  </w:style>
  <w:style w:type="character" w:styleId="ListLabel46">
    <w:name w:val="ListLabel 46"/>
    <w:qFormat/>
    <w:rPr>
      <w:i w:val="false"/>
    </w:rPr>
  </w:style>
  <w:style w:type="paragraph" w:styleId="Style35" w:customStyle="1">
    <w:name w:val="Заголовок"/>
    <w:basedOn w:val="Normal"/>
    <w:next w:val="Style36"/>
    <w:autoRedefine/>
    <w:qFormat/>
    <w:rsid w:val="00077cba"/>
    <w:pPr>
      <w:spacing w:lineRule="auto" w:line="300"/>
      <w:ind w:hanging="0"/>
      <w:jc w:val="center"/>
      <w:outlineLvl w:val="0"/>
    </w:pPr>
    <w:rPr>
      <w:rFonts w:ascii="Times New Roman" w:hAnsi="Times New Roman"/>
      <w:b/>
      <w:sz w:val="28"/>
      <w:lang w:val="ru-RU" w:eastAsia="ru-RU" w:bidi="ar-SA"/>
    </w:rPr>
  </w:style>
  <w:style w:type="paragraph" w:styleId="Style36">
    <w:name w:val="Основной текст"/>
    <w:basedOn w:val="Normal"/>
    <w:uiPriority w:val="99"/>
    <w:rsid w:val="00f62b2a"/>
    <w:pPr>
      <w:ind w:firstLine="567"/>
    </w:pPr>
    <w:rPr>
      <w:rFonts w:ascii="Times New Roman" w:hAnsi="Times New Roman"/>
      <w:sz w:val="20"/>
      <w:szCs w:val="20"/>
      <w:lang w:bidi="ar-SA"/>
    </w:rPr>
  </w:style>
  <w:style w:type="paragraph" w:styleId="Style37">
    <w:name w:val="Список"/>
    <w:basedOn w:val="Style36"/>
    <w:rsid w:val="00c750d1"/>
    <w:pPr>
      <w:widowControl w:val="false"/>
      <w:spacing w:lineRule="auto" w:line="259"/>
      <w:jc w:val="left"/>
    </w:pPr>
    <w:rPr>
      <w:rFonts w:ascii="Calibri" w:hAnsi="Calibri" w:eastAsia="Calibri" w:cs="Mangal" w:asciiTheme="minorHAnsi" w:eastAsiaTheme="minorHAnsi" w:hAnsiTheme="minorHAnsi"/>
      <w:sz w:val="24"/>
      <w:szCs w:val="22"/>
      <w:lang w:val="ru-RU"/>
    </w:rPr>
  </w:style>
  <w:style w:type="paragraph" w:styleId="Style38">
    <w:name w:val="Название"/>
    <w:basedOn w:val="Normal"/>
    <w:pPr>
      <w:suppressLineNumbers/>
      <w:spacing w:before="120" w:after="120"/>
    </w:pPr>
    <w:rPr>
      <w:rFonts w:cs="Mangal"/>
      <w:i/>
      <w:iCs/>
      <w:sz w:val="24"/>
      <w:szCs w:val="24"/>
    </w:rPr>
  </w:style>
  <w:style w:type="paragraph" w:styleId="Style39">
    <w:name w:val="Указатель"/>
    <w:basedOn w:val="Normal"/>
    <w:qFormat/>
    <w:pPr>
      <w:suppressLineNumbers/>
    </w:pPr>
    <w:rPr>
      <w:rFonts w:cs="Mangal"/>
    </w:rPr>
  </w:style>
  <w:style w:type="paragraph" w:styleId="Style40">
    <w:name w:val="Заглавие"/>
    <w:basedOn w:val="Normal"/>
    <w:rsid w:val="003b7bef"/>
    <w:pPr>
      <w:suppressLineNumbers/>
      <w:spacing w:before="120" w:after="120"/>
    </w:pPr>
    <w:rPr>
      <w:rFonts w:cs="Mangal"/>
      <w:i/>
      <w:iCs/>
      <w:sz w:val="24"/>
    </w:rPr>
  </w:style>
  <w:style w:type="paragraph" w:styleId="15" w:customStyle="1">
    <w:name w:val="Указатель1"/>
    <w:basedOn w:val="Normal"/>
    <w:qFormat/>
    <w:rsid w:val="00c750d1"/>
    <w:pPr>
      <w:widowControl w:val="false"/>
      <w:suppressLineNumbers/>
      <w:spacing w:lineRule="auto" w:line="259"/>
      <w:jc w:val="left"/>
    </w:pPr>
    <w:rPr>
      <w:rFonts w:ascii="Calibri" w:hAnsi="Calibri" w:eastAsia="Calibri" w:cs="Mangal" w:asciiTheme="minorHAnsi" w:eastAsiaTheme="minorHAnsi" w:hAnsiTheme="minorHAnsi"/>
      <w:sz w:val="24"/>
      <w:szCs w:val="22"/>
      <w:lang w:val="ru-RU" w:bidi="ar-SA"/>
    </w:rPr>
  </w:style>
  <w:style w:type="paragraph" w:styleId="Style41">
    <w:name w:val="Верхний колонтитул"/>
    <w:basedOn w:val="Normal"/>
    <w:uiPriority w:val="99"/>
    <w:unhideWhenUsed/>
    <w:rsid w:val="00793e1b"/>
    <w:pPr>
      <w:tabs>
        <w:tab w:val="center" w:pos="4677" w:leader="none"/>
        <w:tab w:val="right" w:pos="9355" w:leader="none"/>
      </w:tabs>
    </w:pPr>
    <w:rPr/>
  </w:style>
  <w:style w:type="paragraph" w:styleId="Style42">
    <w:name w:val="Нижний колонтитул"/>
    <w:basedOn w:val="Normal"/>
    <w:uiPriority w:val="99"/>
    <w:unhideWhenUsed/>
    <w:rsid w:val="00793e1b"/>
    <w:pPr>
      <w:tabs>
        <w:tab w:val="center" w:pos="4677" w:leader="none"/>
        <w:tab w:val="right" w:pos="9355" w:leader="none"/>
      </w:tabs>
    </w:pPr>
    <w:rPr/>
  </w:style>
  <w:style w:type="paragraph" w:styleId="NormalWeb">
    <w:name w:val="Normal (Web)"/>
    <w:basedOn w:val="Normal"/>
    <w:uiPriority w:val="99"/>
    <w:qFormat/>
    <w:rsid w:val="00793e1b"/>
    <w:pPr>
      <w:spacing w:beforeAutospacing="1" w:afterAutospacing="1"/>
      <w:ind w:hanging="0"/>
      <w:jc w:val="left"/>
    </w:pPr>
    <w:rPr>
      <w:rFonts w:ascii="Times New Roman" w:hAnsi="Times New Roman"/>
      <w:sz w:val="24"/>
      <w:lang w:val="ru-RU" w:eastAsia="ru-RU" w:bidi="ar-SA"/>
    </w:rPr>
  </w:style>
  <w:style w:type="paragraph" w:styleId="HTMLPreformatted">
    <w:name w:val="HTML Preformatted"/>
    <w:basedOn w:val="Normal"/>
    <w:semiHidden/>
    <w:qFormat/>
    <w:rsid w:val="00793e1b"/>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hanging="0"/>
      <w:jc w:val="left"/>
    </w:pPr>
    <w:rPr>
      <w:rFonts w:ascii="Courier New" w:hAnsi="Courier New"/>
      <w:sz w:val="20"/>
      <w:szCs w:val="20"/>
      <w:lang w:bidi="ar-SA"/>
    </w:rPr>
  </w:style>
  <w:style w:type="paragraph" w:styleId="ConsPlusNormal" w:customStyle="1">
    <w:name w:val="ConsPlusNormal"/>
    <w:uiPriority w:val="99"/>
    <w:qFormat/>
    <w:rsid w:val="00793e1b"/>
    <w:pPr>
      <w:widowControl w:val="false"/>
      <w:bidi w:val="0"/>
      <w:spacing w:lineRule="auto" w:line="240"/>
      <w:jc w:val="left"/>
    </w:pPr>
    <w:rPr>
      <w:rFonts w:eastAsia="Times New Roman" w:cs="Calibri" w:ascii="Calibri" w:hAnsi="Calibri"/>
      <w:color w:val="00000A"/>
      <w:sz w:val="26"/>
      <w:szCs w:val="20"/>
      <w:lang w:eastAsia="ru-RU" w:val="ru-RU" w:bidi="ar-SA"/>
    </w:rPr>
  </w:style>
  <w:style w:type="paragraph" w:styleId="Standard" w:customStyle="1">
    <w:name w:val="Standard"/>
    <w:qFormat/>
    <w:rsid w:val="00c750d1"/>
    <w:pPr>
      <w:widowControl/>
      <w:suppressAutoHyphens w:val="true"/>
      <w:bidi w:val="0"/>
      <w:spacing w:lineRule="auto" w:line="240"/>
      <w:ind w:firstLine="709"/>
      <w:jc w:val="both"/>
      <w:textAlignment w:val="baseline"/>
    </w:pPr>
    <w:rPr>
      <w:rFonts w:ascii="Arial" w:hAnsi="Arial" w:eastAsia="Times New Roman" w:cs="Times New Roman"/>
      <w:color w:val="00000A"/>
      <w:sz w:val="26"/>
      <w:szCs w:val="24"/>
      <w:lang w:eastAsia="zh-CN" w:bidi="en-US" w:val="ru-RU"/>
    </w:rPr>
  </w:style>
  <w:style w:type="paragraph" w:styleId="Textbody" w:customStyle="1">
    <w:name w:val="Text body"/>
    <w:basedOn w:val="Standard"/>
    <w:qFormat/>
    <w:rsid w:val="00c750d1"/>
    <w:pPr>
      <w:spacing w:lineRule="auto" w:line="288" w:before="0" w:after="140"/>
    </w:pPr>
    <w:rPr/>
  </w:style>
  <w:style w:type="paragraph" w:styleId="Caption">
    <w:name w:val="caption"/>
    <w:basedOn w:val="Standard"/>
    <w:qFormat/>
    <w:rsid w:val="00c750d1"/>
    <w:pPr>
      <w:suppressLineNumbers/>
      <w:spacing w:before="120" w:after="120"/>
    </w:pPr>
    <w:rPr>
      <w:rFonts w:cs="Mangal"/>
      <w:i/>
      <w:iCs/>
      <w:sz w:val="24"/>
    </w:rPr>
  </w:style>
  <w:style w:type="paragraph" w:styleId="Style43">
    <w:name w:val="Подзаголовок"/>
    <w:basedOn w:val="Standard"/>
    <w:next w:val="Standard"/>
    <w:rsid w:val="00c750d1"/>
    <w:pPr>
      <w:spacing w:before="0" w:after="60"/>
      <w:jc w:val="center"/>
      <w:outlineLvl w:val="1"/>
    </w:pPr>
    <w:rPr/>
  </w:style>
  <w:style w:type="paragraph" w:styleId="NoSpacing">
    <w:name w:val="No Spacing"/>
    <w:basedOn w:val="Standard"/>
    <w:uiPriority w:val="99"/>
    <w:qFormat/>
    <w:rsid w:val="00c750d1"/>
    <w:pPr/>
    <w:rPr>
      <w:szCs w:val="32"/>
    </w:rPr>
  </w:style>
  <w:style w:type="paragraph" w:styleId="ListParagraph">
    <w:name w:val="List Paragraph"/>
    <w:basedOn w:val="Standard"/>
    <w:uiPriority w:val="34"/>
    <w:qFormat/>
    <w:rsid w:val="00c750d1"/>
    <w:pPr>
      <w:spacing w:before="0" w:after="200"/>
      <w:ind w:left="720" w:hanging="0"/>
    </w:pPr>
    <w:rPr/>
  </w:style>
  <w:style w:type="paragraph" w:styleId="Quote">
    <w:name w:val="Quote"/>
    <w:basedOn w:val="Standard"/>
    <w:next w:val="Standard"/>
    <w:link w:val="21"/>
    <w:qFormat/>
    <w:rsid w:val="00c750d1"/>
    <w:pPr/>
    <w:rPr>
      <w:i/>
    </w:rPr>
  </w:style>
  <w:style w:type="paragraph" w:styleId="IntenseQuote">
    <w:name w:val="Intense Quote"/>
    <w:basedOn w:val="Standard"/>
    <w:next w:val="Standard"/>
    <w:qFormat/>
    <w:rsid w:val="00c750d1"/>
    <w:pPr>
      <w:ind w:left="720" w:right="720" w:firstLine="709"/>
    </w:pPr>
    <w:rPr>
      <w:b/>
      <w:i/>
      <w:szCs w:val="22"/>
    </w:rPr>
  </w:style>
  <w:style w:type="paragraph" w:styleId="ContentsHeading" w:customStyle="1">
    <w:name w:val="Contents Heading"/>
    <w:basedOn w:val="1"/>
    <w:next w:val="Standard"/>
    <w:qFormat/>
    <w:rsid w:val="00c750d1"/>
    <w:pPr/>
    <w:rPr/>
  </w:style>
  <w:style w:type="paragraph" w:styleId="BalloonText">
    <w:name w:val="Balloon Text"/>
    <w:basedOn w:val="Standard"/>
    <w:uiPriority w:val="99"/>
    <w:qFormat/>
    <w:rsid w:val="00c750d1"/>
    <w:pPr/>
    <w:rPr>
      <w:rFonts w:ascii="Tahoma" w:hAnsi="Tahoma" w:eastAsia="Tahoma" w:cs="Tahoma"/>
      <w:sz w:val="16"/>
      <w:szCs w:val="16"/>
    </w:rPr>
  </w:style>
  <w:style w:type="paragraph" w:styleId="Style44" w:customStyle="1">
    <w:name w:val="Содержимое таблицы"/>
    <w:basedOn w:val="Standard"/>
    <w:qFormat/>
    <w:rsid w:val="00c750d1"/>
    <w:pPr>
      <w:suppressLineNumbers/>
    </w:pPr>
    <w:rPr/>
  </w:style>
  <w:style w:type="paragraph" w:styleId="Style45" w:customStyle="1">
    <w:name w:val="Содержимое врезки"/>
    <w:basedOn w:val="Standard"/>
    <w:qFormat/>
    <w:rsid w:val="00c750d1"/>
    <w:pPr/>
    <w:rPr/>
  </w:style>
  <w:style w:type="paragraph" w:styleId="Footnote" w:customStyle="1">
    <w:name w:val="Footnote"/>
    <w:basedOn w:val="Standard"/>
    <w:qFormat/>
    <w:rsid w:val="00c750d1"/>
    <w:pPr>
      <w:suppressLineNumbers/>
      <w:ind w:left="339" w:hanging="339"/>
    </w:pPr>
    <w:rPr>
      <w:sz w:val="20"/>
      <w:szCs w:val="20"/>
    </w:rPr>
  </w:style>
  <w:style w:type="paragraph" w:styleId="Style46" w:customStyle="1">
    <w:name w:val="Концевая сноска"/>
    <w:basedOn w:val="Standard"/>
    <w:rsid w:val="00c750d1"/>
    <w:pPr>
      <w:suppressLineNumbers/>
      <w:ind w:left="339" w:hanging="339"/>
    </w:pPr>
    <w:rPr>
      <w:sz w:val="20"/>
      <w:szCs w:val="20"/>
    </w:rPr>
  </w:style>
  <w:style w:type="paragraph" w:styleId="ConsPlusTitle" w:customStyle="1">
    <w:name w:val="ConsPlusTitle"/>
    <w:uiPriority w:val="99"/>
    <w:qFormat/>
    <w:rsid w:val="00c750d1"/>
    <w:pPr>
      <w:widowControl w:val="false"/>
      <w:suppressAutoHyphens w:val="true"/>
      <w:bidi w:val="0"/>
      <w:spacing w:lineRule="auto" w:line="240"/>
      <w:jc w:val="left"/>
      <w:textAlignment w:val="baseline"/>
    </w:pPr>
    <w:rPr>
      <w:rFonts w:ascii="Calibri" w:hAnsi="Calibri" w:eastAsia="Times New Roman" w:cs="Calibri"/>
      <w:b/>
      <w:color w:val="00000A"/>
      <w:sz w:val="26"/>
      <w:szCs w:val="20"/>
      <w:lang w:eastAsia="ru-RU" w:val="ru-RU" w:bidi="ar-SA"/>
    </w:rPr>
  </w:style>
  <w:style w:type="paragraph" w:styleId="ConsPlusNonformat" w:customStyle="1">
    <w:name w:val="ConsPlusNonformat"/>
    <w:uiPriority w:val="99"/>
    <w:qFormat/>
    <w:rsid w:val="00c750d1"/>
    <w:pPr>
      <w:widowControl w:val="false"/>
      <w:suppressAutoHyphens w:val="true"/>
      <w:bidi w:val="0"/>
      <w:spacing w:lineRule="auto" w:line="240"/>
      <w:jc w:val="left"/>
      <w:textAlignment w:val="baseline"/>
    </w:pPr>
    <w:rPr>
      <w:rFonts w:ascii="Courier New" w:hAnsi="Courier New" w:eastAsia="Times New Roman" w:cs="Courier New"/>
      <w:color w:val="00000A"/>
      <w:sz w:val="26"/>
      <w:szCs w:val="20"/>
      <w:lang w:eastAsia="ru-RU" w:val="ru-RU" w:bidi="ar-SA"/>
    </w:rPr>
  </w:style>
  <w:style w:type="paragraph" w:styleId="Western" w:customStyle="1">
    <w:name w:val="western"/>
    <w:basedOn w:val="Standard"/>
    <w:qFormat/>
    <w:rsid w:val="00c750d1"/>
    <w:pPr>
      <w:suppressAutoHyphens w:val="false"/>
      <w:spacing w:before="280" w:after="0"/>
      <w:ind w:hanging="0"/>
    </w:pPr>
    <w:rPr>
      <w:rFonts w:cs="Arial"/>
      <w:sz w:val="28"/>
      <w:szCs w:val="28"/>
      <w:lang w:bidi="ar-SA"/>
    </w:rPr>
  </w:style>
  <w:style w:type="paragraph" w:styleId="Style47" w:customStyle="1">
    <w:name w:val="Заголовок таблицы"/>
    <w:basedOn w:val="Style44"/>
    <w:qFormat/>
    <w:rsid w:val="00c750d1"/>
    <w:pPr>
      <w:jc w:val="center"/>
    </w:pPr>
    <w:rPr>
      <w:b/>
      <w:bCs/>
    </w:rPr>
  </w:style>
  <w:style w:type="paragraph" w:styleId="TOCHeading">
    <w:name w:val="TOC Heading"/>
    <w:basedOn w:val="1"/>
    <w:uiPriority w:val="99"/>
    <w:unhideWhenUsed/>
    <w:qFormat/>
    <w:rsid w:val="00f62b2a"/>
    <w:pPr>
      <w:keepLines/>
      <w:spacing w:lineRule="auto" w:line="276" w:before="200" w:after="200"/>
      <w:ind w:firstLine="567"/>
      <w:jc w:val="center"/>
    </w:pPr>
    <w:rPr>
      <w:rFonts w:ascii="Times New Roman" w:hAnsi="Times New Roman"/>
      <w:color w:val="365F91"/>
      <w:sz w:val="28"/>
      <w:szCs w:val="28"/>
    </w:rPr>
  </w:style>
  <w:style w:type="paragraph" w:styleId="16">
    <w:name w:val="Оглавление 1"/>
    <w:basedOn w:val="Normal"/>
    <w:autoRedefine/>
    <w:uiPriority w:val="39"/>
    <w:unhideWhenUsed/>
    <w:qFormat/>
    <w:rsid w:val="00f62b2a"/>
    <w:pPr>
      <w:tabs>
        <w:tab w:val="right" w:pos="9214" w:leader="dot"/>
      </w:tabs>
      <w:ind w:hanging="0"/>
    </w:pPr>
    <w:rPr>
      <w:rFonts w:cs="Arial"/>
      <w:szCs w:val="26"/>
      <w:lang w:val="ru-RU" w:eastAsia="ru-RU" w:bidi="ar-SA"/>
    </w:rPr>
  </w:style>
  <w:style w:type="paragraph" w:styleId="26">
    <w:name w:val="Оглавление 2"/>
    <w:basedOn w:val="Normal"/>
    <w:link w:val="27"/>
    <w:autoRedefine/>
    <w:uiPriority w:val="39"/>
    <w:unhideWhenUsed/>
    <w:qFormat/>
    <w:rsid w:val="008c5643"/>
    <w:pPr>
      <w:tabs>
        <w:tab w:val="right" w:pos="9214" w:leader="dot"/>
      </w:tabs>
      <w:ind w:hanging="0"/>
    </w:pPr>
    <w:rPr>
      <w:rFonts w:ascii="Times New Roman" w:hAnsi="Times New Roman"/>
      <w:szCs w:val="22"/>
      <w:lang w:val="ru-RU" w:eastAsia="ru-RU" w:bidi="ar-SA"/>
    </w:rPr>
  </w:style>
  <w:style w:type="paragraph" w:styleId="35">
    <w:name w:val="Оглавление 3"/>
    <w:basedOn w:val="Normal"/>
    <w:link w:val="35"/>
    <w:autoRedefine/>
    <w:uiPriority w:val="39"/>
    <w:unhideWhenUsed/>
    <w:rsid w:val="00f62b2a"/>
    <w:pPr>
      <w:tabs>
        <w:tab w:val="right" w:pos="9214" w:leader="dot"/>
      </w:tabs>
      <w:spacing w:lineRule="auto" w:line="276" w:before="0" w:after="100"/>
      <w:ind w:firstLine="567"/>
    </w:pPr>
    <w:rPr>
      <w:rFonts w:ascii="Times New Roman" w:hAnsi="Times New Roman"/>
      <w:szCs w:val="22"/>
      <w:lang w:val="ru-RU" w:eastAsia="ru-RU" w:bidi="ar-SA"/>
    </w:rPr>
  </w:style>
  <w:style w:type="paragraph" w:styleId="Style48" w:customStyle="1">
    <w:name w:val="Абзац"/>
    <w:basedOn w:val="Normal"/>
    <w:uiPriority w:val="99"/>
    <w:qFormat/>
    <w:rsid w:val="00f62b2a"/>
    <w:pPr>
      <w:spacing w:before="120" w:after="60"/>
      <w:ind w:firstLine="567"/>
    </w:pPr>
    <w:rPr>
      <w:rFonts w:ascii="Calibri" w:hAnsi="Calibri"/>
      <w:sz w:val="24"/>
      <w:lang w:bidi="ar-SA"/>
    </w:rPr>
  </w:style>
  <w:style w:type="paragraph" w:styleId="141" w:customStyle="1">
    <w:name w:val="Основной текст14"/>
    <w:basedOn w:val="Normal"/>
    <w:uiPriority w:val="99"/>
    <w:qFormat/>
    <w:rsid w:val="00f62b2a"/>
    <w:pPr>
      <w:widowControl w:val="false"/>
      <w:shd w:val="clear" w:color="auto" w:fill="FFFFFF"/>
      <w:spacing w:lineRule="exact" w:line="480"/>
      <w:ind w:hanging="700"/>
    </w:pPr>
    <w:rPr>
      <w:rFonts w:ascii="Times New Roman" w:hAnsi="Times New Roman" w:eastAsia="Calibri" w:cs="" w:cstheme="minorBidi" w:eastAsiaTheme="minorHAnsi"/>
      <w:sz w:val="27"/>
      <w:szCs w:val="27"/>
      <w:lang w:val="ru-RU" w:bidi="ar-SA"/>
    </w:rPr>
  </w:style>
  <w:style w:type="paragraph" w:styleId="AAA1" w:customStyle="1">
    <w:name w:val="! AAA !"/>
    <w:uiPriority w:val="99"/>
    <w:qFormat/>
    <w:rsid w:val="00f62b2a"/>
    <w:pPr>
      <w:widowControl/>
      <w:bidi w:val="0"/>
      <w:spacing w:lineRule="auto" w:line="240" w:before="0" w:after="120"/>
      <w:jc w:val="both"/>
    </w:pPr>
    <w:rPr>
      <w:rFonts w:ascii="Times New Roman" w:hAnsi="Times New Roman" w:eastAsia="Times New Roman" w:cs="Times New Roman"/>
      <w:color w:val="00000A"/>
      <w:sz w:val="16"/>
      <w:szCs w:val="22"/>
      <w:lang w:eastAsia="ru-RU" w:val="ru-RU" w:bidi="ar-SA"/>
    </w:rPr>
  </w:style>
  <w:style w:type="paragraph" w:styleId="17" w:customStyle="1">
    <w:name w:val="Абзац списка1"/>
    <w:uiPriority w:val="99"/>
    <w:qFormat/>
    <w:rsid w:val="00f62b2a"/>
    <w:pPr>
      <w:widowControl w:val="false"/>
      <w:suppressAutoHyphens w:val="true"/>
      <w:bidi w:val="0"/>
      <w:spacing w:lineRule="auto" w:line="276" w:before="0" w:after="200"/>
      <w:ind w:left="720" w:hanging="0"/>
      <w:jc w:val="left"/>
    </w:pPr>
    <w:rPr>
      <w:rFonts w:eastAsia="Lucida Sans Unicode" w:cs="Tahoma" w:ascii="Calibri" w:hAnsi="Calibri"/>
      <w:color w:val="00000A"/>
      <w:sz w:val="26"/>
      <w:szCs w:val="22"/>
      <w:lang w:eastAsia="ar-SA" w:val="ru-RU" w:bidi="ar-SA"/>
    </w:rPr>
  </w:style>
  <w:style w:type="paragraph" w:styleId="18" w:customStyle="1">
    <w:name w:val="Без интервала1"/>
    <w:uiPriority w:val="99"/>
    <w:qFormat/>
    <w:rsid w:val="00f62b2a"/>
    <w:pPr>
      <w:widowControl/>
      <w:suppressAutoHyphens w:val="true"/>
      <w:bidi w:val="0"/>
      <w:spacing w:lineRule="atLeast" w:line="100"/>
      <w:jc w:val="left"/>
    </w:pPr>
    <w:rPr>
      <w:rFonts w:eastAsia="Times New Roman" w:cs="Times New Roman" w:ascii="Calibri" w:hAnsi="Calibri"/>
      <w:color w:val="00000A"/>
      <w:sz w:val="26"/>
      <w:szCs w:val="22"/>
      <w:lang w:eastAsia="ar-SA" w:val="ru-RU" w:bidi="ar-SA"/>
    </w:rPr>
  </w:style>
  <w:style w:type="paragraph" w:styleId="FormatvorlageBeschriftungZentriert" w:customStyle="1">
    <w:name w:val="Formatvorlage Beschriftung + Zentriert"/>
    <w:basedOn w:val="Caption"/>
    <w:autoRedefine/>
    <w:uiPriority w:val="99"/>
    <w:qFormat/>
    <w:rsid w:val="00f62b2a"/>
    <w:pPr>
      <w:suppressAutoHyphens w:val="false"/>
      <w:spacing w:lineRule="auto" w:line="276" w:before="120" w:after="0"/>
      <w:ind w:firstLine="567"/>
      <w:textAlignment w:val="auto"/>
    </w:pPr>
    <w:rPr>
      <w:rFonts w:ascii="Cambria" w:hAnsi="Cambria" w:cs="Times New Roman"/>
      <w:i w:val="false"/>
      <w:iCs w:val="false"/>
      <w:sz w:val="22"/>
      <w:szCs w:val="22"/>
      <w:lang w:eastAsia="en-US" w:bidi="ar-SA"/>
    </w:rPr>
  </w:style>
  <w:style w:type="paragraph" w:styleId="Default" w:customStyle="1">
    <w:name w:val="Default"/>
    <w:qFormat/>
    <w:rsid w:val="00f62b2a"/>
    <w:pPr>
      <w:widowControl/>
      <w:bidi w:val="0"/>
      <w:spacing w:lineRule="auto" w:line="240"/>
      <w:jc w:val="left"/>
    </w:pPr>
    <w:rPr>
      <w:rFonts w:ascii="Times New Roman" w:hAnsi="Times New Roman" w:eastAsia="Times New Roman" w:cs="Times New Roman"/>
      <w:color w:val="000000"/>
      <w:sz w:val="24"/>
      <w:szCs w:val="24"/>
      <w:lang w:val="ru-RU" w:eastAsia="en-US" w:bidi="ar-SA"/>
    </w:rPr>
  </w:style>
  <w:style w:type="paragraph" w:styleId="PlainText">
    <w:name w:val="Plain Text"/>
    <w:basedOn w:val="Normal"/>
    <w:qFormat/>
    <w:rsid w:val="00f62b2a"/>
    <w:pPr>
      <w:ind w:firstLine="567"/>
    </w:pPr>
    <w:rPr>
      <w:rFonts w:ascii="Consolas" w:hAnsi="Consolas"/>
      <w:sz w:val="21"/>
      <w:szCs w:val="21"/>
      <w:lang w:bidi="ar-SA"/>
    </w:rPr>
  </w:style>
  <w:style w:type="paragraph" w:styleId="Style49" w:customStyle="1">
    <w:name w:val="_Обычный"/>
    <w:basedOn w:val="Normal"/>
    <w:uiPriority w:val="99"/>
    <w:qFormat/>
    <w:rsid w:val="00f62b2a"/>
    <w:pPr/>
    <w:rPr>
      <w:rFonts w:ascii="Times New Roman" w:hAnsi="Times New Roman"/>
      <w:sz w:val="24"/>
      <w:szCs w:val="20"/>
      <w:lang w:bidi="ar-SA"/>
    </w:rPr>
  </w:style>
  <w:style w:type="paragraph" w:styleId="121" w:customStyle="1">
    <w:name w:val="Стиль По ширине Междустр.интервал:  множитель 12 ин"/>
    <w:basedOn w:val="Normal"/>
    <w:uiPriority w:val="99"/>
    <w:qFormat/>
    <w:rsid w:val="00f62b2a"/>
    <w:pPr/>
    <w:rPr>
      <w:rFonts w:ascii="Times New Roman" w:hAnsi="Times New Roman"/>
      <w:sz w:val="24"/>
      <w:lang w:val="ru-RU" w:eastAsia="ru-RU" w:bidi="ar-SA"/>
    </w:rPr>
  </w:style>
  <w:style w:type="paragraph" w:styleId="93" w:customStyle="1">
    <w:name w:val="Основной текст9"/>
    <w:basedOn w:val="Normal"/>
    <w:uiPriority w:val="99"/>
    <w:qFormat/>
    <w:rsid w:val="00f62b2a"/>
    <w:pPr>
      <w:widowControl w:val="false"/>
      <w:shd w:val="clear" w:color="auto" w:fill="FFFFFF"/>
      <w:spacing w:lineRule="atLeast" w:line="240"/>
      <w:ind w:hanging="360"/>
      <w:jc w:val="center"/>
    </w:pPr>
    <w:rPr>
      <w:rFonts w:ascii="Times New Roman" w:hAnsi="Times New Roman"/>
      <w:color w:val="000000"/>
      <w:sz w:val="25"/>
      <w:szCs w:val="25"/>
      <w:lang w:val="ru-RU" w:eastAsia="ru-RU" w:bidi="ar-SA"/>
    </w:rPr>
  </w:style>
  <w:style w:type="paragraph" w:styleId="44" w:customStyle="1">
    <w:name w:val="Подпись к таблице (4)"/>
    <w:basedOn w:val="Normal"/>
    <w:link w:val="41"/>
    <w:uiPriority w:val="99"/>
    <w:qFormat/>
    <w:rsid w:val="00f62b2a"/>
    <w:pPr>
      <w:widowControl w:val="false"/>
      <w:shd w:val="clear" w:color="auto" w:fill="FFFFFF"/>
      <w:spacing w:lineRule="atLeast" w:line="240"/>
      <w:ind w:firstLine="567"/>
    </w:pPr>
    <w:rPr>
      <w:rFonts w:ascii="MS Gothic" w:hAnsi="MS Gothic" w:eastAsia="MS Gothic" w:cs="MS Gothic"/>
      <w:i/>
      <w:iCs/>
      <w:sz w:val="15"/>
      <w:szCs w:val="15"/>
      <w:lang w:val="ru-RU" w:bidi="ar-SA"/>
    </w:rPr>
  </w:style>
  <w:style w:type="paragraph" w:styleId="DocumentMap">
    <w:name w:val="Document Map"/>
    <w:basedOn w:val="Normal"/>
    <w:uiPriority w:val="99"/>
    <w:semiHidden/>
    <w:unhideWhenUsed/>
    <w:qFormat/>
    <w:rsid w:val="00f62b2a"/>
    <w:pPr>
      <w:ind w:firstLine="567"/>
    </w:pPr>
    <w:rPr>
      <w:rFonts w:ascii="Tahoma" w:hAnsi="Tahoma"/>
      <w:sz w:val="16"/>
      <w:szCs w:val="16"/>
      <w:lang w:bidi="ar-SA"/>
    </w:rPr>
  </w:style>
  <w:style w:type="paragraph" w:styleId="BodyTextIndent3">
    <w:name w:val="Body Text Indent 3"/>
    <w:basedOn w:val="Normal"/>
    <w:link w:val="34"/>
    <w:uiPriority w:val="99"/>
    <w:semiHidden/>
    <w:unhideWhenUsed/>
    <w:qFormat/>
    <w:rsid w:val="00f62b2a"/>
    <w:pPr>
      <w:spacing w:lineRule="auto" w:line="276" w:before="0" w:after="120"/>
      <w:ind w:left="283" w:firstLine="567"/>
    </w:pPr>
    <w:rPr>
      <w:rFonts w:ascii="Calibri" w:hAnsi="Calibri"/>
      <w:sz w:val="16"/>
      <w:szCs w:val="16"/>
      <w:lang w:bidi="ar-SA"/>
    </w:rPr>
  </w:style>
  <w:style w:type="paragraph" w:styleId="Style50">
    <w:name w:val="Основной текст с отступом"/>
    <w:basedOn w:val="Normal"/>
    <w:uiPriority w:val="99"/>
    <w:unhideWhenUsed/>
    <w:rsid w:val="00f62b2a"/>
    <w:pPr>
      <w:spacing w:lineRule="auto" w:line="276" w:before="0" w:after="120"/>
      <w:ind w:left="283" w:firstLine="567"/>
    </w:pPr>
    <w:rPr>
      <w:rFonts w:ascii="Times New Roman" w:hAnsi="Times New Roman"/>
      <w:sz w:val="28"/>
      <w:szCs w:val="22"/>
      <w:lang w:val="ru-RU" w:eastAsia="ru-RU" w:bidi="ar-SA"/>
    </w:rPr>
  </w:style>
  <w:style w:type="paragraph" w:styleId="19" w:customStyle="1">
    <w:name w:val="Обычный 1"/>
    <w:basedOn w:val="Normal"/>
    <w:uiPriority w:val="99"/>
    <w:qFormat/>
    <w:rsid w:val="00f62b2a"/>
    <w:pPr>
      <w:ind w:firstLine="720"/>
    </w:pPr>
    <w:rPr>
      <w:sz w:val="24"/>
      <w:szCs w:val="20"/>
      <w:lang w:val="ru-RU" w:eastAsia="ru-RU" w:bidi="ar-SA"/>
    </w:rPr>
  </w:style>
  <w:style w:type="paragraph" w:styleId="BodyText2">
    <w:name w:val="Body Text 2"/>
    <w:basedOn w:val="Normal"/>
    <w:link w:val="26"/>
    <w:uiPriority w:val="99"/>
    <w:unhideWhenUsed/>
    <w:qFormat/>
    <w:rsid w:val="00f62b2a"/>
    <w:pPr>
      <w:spacing w:lineRule="auto" w:line="480" w:before="0" w:after="120"/>
      <w:ind w:firstLine="567"/>
    </w:pPr>
    <w:rPr>
      <w:rFonts w:ascii="Times New Roman" w:hAnsi="Times New Roman"/>
      <w:sz w:val="28"/>
      <w:szCs w:val="22"/>
      <w:lang w:val="ru-RU" w:eastAsia="ru-RU" w:bidi="ar-SA"/>
    </w:rPr>
  </w:style>
  <w:style w:type="paragraph" w:styleId="BodyTextIndent2">
    <w:name w:val="Body Text Indent 2"/>
    <w:basedOn w:val="Normal"/>
    <w:uiPriority w:val="99"/>
    <w:unhideWhenUsed/>
    <w:qFormat/>
    <w:rsid w:val="00f62b2a"/>
    <w:pPr>
      <w:spacing w:lineRule="auto" w:line="480" w:before="0" w:after="120"/>
      <w:ind w:left="283" w:firstLine="567"/>
    </w:pPr>
    <w:rPr>
      <w:rFonts w:ascii="Times New Roman" w:hAnsi="Times New Roman"/>
      <w:sz w:val="28"/>
      <w:szCs w:val="20"/>
      <w:lang w:bidi="ar-SA"/>
    </w:rPr>
  </w:style>
  <w:style w:type="paragraph" w:styleId="45">
    <w:name w:val="Оглавление 4"/>
    <w:basedOn w:val="Normal"/>
    <w:autoRedefine/>
    <w:uiPriority w:val="39"/>
    <w:unhideWhenUsed/>
    <w:rsid w:val="00f62b2a"/>
    <w:pPr>
      <w:spacing w:lineRule="auto" w:line="276" w:before="0" w:after="100"/>
      <w:ind w:left="660" w:firstLine="567"/>
    </w:pPr>
    <w:rPr>
      <w:rFonts w:ascii="Times New Roman" w:hAnsi="Times New Roman"/>
      <w:szCs w:val="22"/>
      <w:lang w:val="ru-RU" w:eastAsia="ru-RU" w:bidi="ar-SA"/>
    </w:rPr>
  </w:style>
  <w:style w:type="paragraph" w:styleId="Annotationtext">
    <w:name w:val="annotation text"/>
    <w:basedOn w:val="Normal"/>
    <w:uiPriority w:val="99"/>
    <w:semiHidden/>
    <w:unhideWhenUsed/>
    <w:qFormat/>
    <w:rsid w:val="00f62b2a"/>
    <w:pPr>
      <w:ind w:firstLine="567"/>
    </w:pPr>
    <w:rPr>
      <w:rFonts w:ascii="Calibri" w:hAnsi="Calibri"/>
      <w:sz w:val="20"/>
      <w:szCs w:val="20"/>
      <w:lang w:bidi="ar-SA"/>
    </w:rPr>
  </w:style>
  <w:style w:type="paragraph" w:styleId="Annotationsubject">
    <w:name w:val="annotation subject"/>
    <w:basedOn w:val="Annotationtext"/>
    <w:uiPriority w:val="99"/>
    <w:semiHidden/>
    <w:unhideWhenUsed/>
    <w:qFormat/>
    <w:rsid w:val="00f62b2a"/>
    <w:pPr/>
    <w:rPr>
      <w:b/>
      <w:bCs/>
    </w:rPr>
  </w:style>
  <w:style w:type="paragraph" w:styleId="Revision">
    <w:name w:val="Revision"/>
    <w:uiPriority w:val="99"/>
    <w:semiHidden/>
    <w:qFormat/>
    <w:rsid w:val="00f62b2a"/>
    <w:pPr>
      <w:widowControl/>
      <w:bidi w:val="0"/>
      <w:spacing w:lineRule="auto" w:line="240"/>
      <w:jc w:val="left"/>
    </w:pPr>
    <w:rPr>
      <w:rFonts w:eastAsia="Times New Roman" w:cs="Times New Roman" w:ascii="Calibri" w:hAnsi="Calibri"/>
      <w:color w:val="00000A"/>
      <w:sz w:val="26"/>
      <w:szCs w:val="22"/>
      <w:lang w:eastAsia="ru-RU" w:val="ru-RU" w:bidi="ar-SA"/>
    </w:rPr>
  </w:style>
  <w:style w:type="paragraph" w:styleId="CharChar" w:customStyle="1">
    <w:name w:val="Char Char"/>
    <w:basedOn w:val="Normal"/>
    <w:uiPriority w:val="99"/>
    <w:qFormat/>
    <w:rsid w:val="00f62b2a"/>
    <w:pPr>
      <w:spacing w:lineRule="exact" w:line="240" w:before="0" w:after="160"/>
      <w:ind w:firstLine="567"/>
    </w:pPr>
    <w:rPr>
      <w:rFonts w:ascii="Verdana" w:hAnsi="Verdana"/>
      <w:sz w:val="20"/>
      <w:szCs w:val="20"/>
      <w:lang w:bidi="ar-SA"/>
    </w:rPr>
  </w:style>
  <w:style w:type="paragraph" w:styleId="53">
    <w:name w:val="Оглавление 5"/>
    <w:basedOn w:val="Normal"/>
    <w:autoRedefine/>
    <w:uiPriority w:val="39"/>
    <w:unhideWhenUsed/>
    <w:rsid w:val="00f62b2a"/>
    <w:pPr>
      <w:spacing w:lineRule="auto" w:line="276" w:before="0" w:after="100"/>
      <w:ind w:left="880" w:firstLine="567"/>
    </w:pPr>
    <w:rPr>
      <w:rFonts w:ascii="Times New Roman" w:hAnsi="Times New Roman"/>
      <w:sz w:val="28"/>
      <w:szCs w:val="22"/>
      <w:lang w:val="ru-RU" w:eastAsia="ru-RU" w:bidi="ar-SA"/>
    </w:rPr>
  </w:style>
  <w:style w:type="paragraph" w:styleId="62">
    <w:name w:val="Оглавление 6"/>
    <w:basedOn w:val="Normal"/>
    <w:autoRedefine/>
    <w:uiPriority w:val="39"/>
    <w:unhideWhenUsed/>
    <w:rsid w:val="00f62b2a"/>
    <w:pPr>
      <w:spacing w:lineRule="auto" w:line="276" w:before="0" w:after="100"/>
      <w:ind w:left="1100" w:firstLine="567"/>
    </w:pPr>
    <w:rPr>
      <w:rFonts w:ascii="Times New Roman" w:hAnsi="Times New Roman"/>
      <w:sz w:val="28"/>
      <w:szCs w:val="22"/>
      <w:lang w:val="ru-RU" w:eastAsia="ru-RU" w:bidi="ar-SA"/>
    </w:rPr>
  </w:style>
  <w:style w:type="paragraph" w:styleId="72">
    <w:name w:val="Оглавление 7"/>
    <w:basedOn w:val="Normal"/>
    <w:autoRedefine/>
    <w:uiPriority w:val="39"/>
    <w:unhideWhenUsed/>
    <w:rsid w:val="00f62b2a"/>
    <w:pPr>
      <w:spacing w:lineRule="auto" w:line="276" w:before="0" w:after="100"/>
      <w:ind w:left="1320" w:firstLine="567"/>
    </w:pPr>
    <w:rPr>
      <w:rFonts w:ascii="Times New Roman" w:hAnsi="Times New Roman"/>
      <w:sz w:val="28"/>
      <w:szCs w:val="22"/>
      <w:lang w:val="ru-RU" w:eastAsia="ru-RU" w:bidi="ar-SA"/>
    </w:rPr>
  </w:style>
  <w:style w:type="paragraph" w:styleId="82">
    <w:name w:val="Оглавление 8"/>
    <w:basedOn w:val="Normal"/>
    <w:autoRedefine/>
    <w:uiPriority w:val="39"/>
    <w:unhideWhenUsed/>
    <w:rsid w:val="00f62b2a"/>
    <w:pPr>
      <w:spacing w:lineRule="auto" w:line="276" w:before="0" w:after="100"/>
      <w:ind w:left="1540" w:firstLine="567"/>
    </w:pPr>
    <w:rPr>
      <w:rFonts w:ascii="Times New Roman" w:hAnsi="Times New Roman"/>
      <w:sz w:val="28"/>
      <w:szCs w:val="22"/>
      <w:lang w:val="ru-RU" w:eastAsia="ru-RU" w:bidi="ar-SA"/>
    </w:rPr>
  </w:style>
  <w:style w:type="paragraph" w:styleId="94">
    <w:name w:val="Оглавление 9"/>
    <w:basedOn w:val="Normal"/>
    <w:autoRedefine/>
    <w:uiPriority w:val="39"/>
    <w:unhideWhenUsed/>
    <w:rsid w:val="00f62b2a"/>
    <w:pPr>
      <w:spacing w:lineRule="auto" w:line="276" w:before="0" w:after="100"/>
      <w:ind w:left="1760" w:firstLine="567"/>
    </w:pPr>
    <w:rPr>
      <w:rFonts w:ascii="Times New Roman" w:hAnsi="Times New Roman"/>
      <w:sz w:val="28"/>
      <w:szCs w:val="22"/>
      <w:lang w:val="ru-RU" w:eastAsia="ru-RU" w:bidi="ar-SA"/>
    </w:rPr>
  </w:style>
  <w:style w:type="paragraph" w:styleId="Font5" w:customStyle="1">
    <w:name w:val="font5"/>
    <w:basedOn w:val="Normal"/>
    <w:uiPriority w:val="99"/>
    <w:qFormat/>
    <w:rsid w:val="00f62b2a"/>
    <w:pPr>
      <w:spacing w:beforeAutospacing="1" w:afterAutospacing="1"/>
      <w:ind w:firstLine="567"/>
    </w:pPr>
    <w:rPr>
      <w:rFonts w:ascii="Times New Roman" w:hAnsi="Times New Roman"/>
      <w:color w:val="000000"/>
      <w:sz w:val="24"/>
      <w:lang w:val="ru-RU" w:eastAsia="ru-RU" w:bidi="ar-SA"/>
    </w:rPr>
  </w:style>
  <w:style w:type="paragraph" w:styleId="Xl63" w:customStyle="1">
    <w:name w:val="xl63"/>
    <w:basedOn w:val="Normal"/>
    <w:uiPriority w:val="99"/>
    <w:qFormat/>
    <w:rsid w:val="00f62b2a"/>
    <w:pPr>
      <w:pBdr>
        <w:top w:val="single" w:sz="8" w:space="0" w:color="00000A"/>
        <w:left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64" w:customStyle="1">
    <w:name w:val="xl64"/>
    <w:basedOn w:val="Normal"/>
    <w:qFormat/>
    <w:rsid w:val="00f62b2a"/>
    <w:pPr>
      <w:pBdr>
        <w:left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65" w:customStyle="1">
    <w:name w:val="xl65"/>
    <w:basedOn w:val="Normal"/>
    <w:qFormat/>
    <w:rsid w:val="00f62b2a"/>
    <w:pPr>
      <w:pBdr>
        <w:left w:val="single" w:sz="8" w:space="0" w:color="00000A"/>
        <w:bottom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66" w:customStyle="1">
    <w:name w:val="xl66"/>
    <w:basedOn w:val="Normal"/>
    <w:qFormat/>
    <w:rsid w:val="00f62b2a"/>
    <w:pPr>
      <w:pBdr>
        <w:top w:val="single" w:sz="8" w:space="0" w:color="00000A"/>
        <w:left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67" w:customStyle="1">
    <w:name w:val="xl67"/>
    <w:basedOn w:val="Normal"/>
    <w:qFormat/>
    <w:rsid w:val="00f62b2a"/>
    <w:pPr>
      <w:pBdr>
        <w:left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68" w:customStyle="1">
    <w:name w:val="xl68"/>
    <w:basedOn w:val="Normal"/>
    <w:qFormat/>
    <w:rsid w:val="00f62b2a"/>
    <w:pPr>
      <w:pBdr>
        <w:left w:val="single" w:sz="8" w:space="0" w:color="00000A"/>
        <w:bottom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69" w:customStyle="1">
    <w:name w:val="xl69"/>
    <w:basedOn w:val="Normal"/>
    <w:qFormat/>
    <w:rsid w:val="00f62b2a"/>
    <w:pPr>
      <w:pBdr>
        <w:top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70" w:customStyle="1">
    <w:name w:val="xl70"/>
    <w:basedOn w:val="Normal"/>
    <w:qFormat/>
    <w:rsid w:val="00f62b2a"/>
    <w:pPr>
      <w:pBdr>
        <w:top w:val="single" w:sz="8" w:space="0" w:color="00000A"/>
        <w:lef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71" w:customStyle="1">
    <w:name w:val="xl71"/>
    <w:basedOn w:val="Normal"/>
    <w:qFormat/>
    <w:rsid w:val="00f62b2a"/>
    <w:pPr>
      <w:pBdr>
        <w:top w:val="single" w:sz="8" w:space="0" w:color="00000A"/>
        <w:right w:val="single" w:sz="8" w:space="0" w:color="000001"/>
      </w:pBdr>
      <w:spacing w:beforeAutospacing="1" w:afterAutospacing="1"/>
      <w:ind w:firstLine="567"/>
      <w:jc w:val="center"/>
    </w:pPr>
    <w:rPr>
      <w:rFonts w:ascii="Times New Roman" w:hAnsi="Times New Roman"/>
      <w:sz w:val="24"/>
      <w:lang w:val="ru-RU" w:eastAsia="ru-RU" w:bidi="ar-SA"/>
    </w:rPr>
  </w:style>
  <w:style w:type="paragraph" w:styleId="Xl72" w:customStyle="1">
    <w:name w:val="xl72"/>
    <w:basedOn w:val="Normal"/>
    <w:qFormat/>
    <w:rsid w:val="00f62b2a"/>
    <w:pPr>
      <w:pBdr>
        <w:bottom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73" w:customStyle="1">
    <w:name w:val="xl73"/>
    <w:basedOn w:val="Normal"/>
    <w:qFormat/>
    <w:rsid w:val="00f62b2a"/>
    <w:pPr>
      <w:pBdr>
        <w:left w:val="single" w:sz="8" w:space="0" w:color="00000A"/>
        <w:bottom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74" w:customStyle="1">
    <w:name w:val="xl74"/>
    <w:basedOn w:val="Normal"/>
    <w:qFormat/>
    <w:rsid w:val="00f62b2a"/>
    <w:pPr>
      <w:pBdr>
        <w:bottom w:val="single" w:sz="8" w:space="0" w:color="00000A"/>
        <w:right w:val="single" w:sz="8" w:space="0" w:color="000001"/>
      </w:pBdr>
      <w:spacing w:beforeAutospacing="1" w:afterAutospacing="1"/>
      <w:ind w:firstLine="567"/>
      <w:jc w:val="center"/>
    </w:pPr>
    <w:rPr>
      <w:rFonts w:ascii="Times New Roman" w:hAnsi="Times New Roman"/>
      <w:sz w:val="24"/>
      <w:lang w:val="ru-RU" w:eastAsia="ru-RU" w:bidi="ar-SA"/>
    </w:rPr>
  </w:style>
  <w:style w:type="paragraph" w:styleId="Xl75" w:customStyle="1">
    <w:name w:val="xl75"/>
    <w:basedOn w:val="Normal"/>
    <w:qFormat/>
    <w:rsid w:val="00f62b2a"/>
    <w:pPr>
      <w:pBdr>
        <w:top w:val="single" w:sz="8" w:space="0" w:color="00000A"/>
        <w:left w:val="single" w:sz="8" w:space="0" w:color="000001"/>
      </w:pBdr>
      <w:spacing w:beforeAutospacing="1" w:afterAutospacing="1"/>
      <w:ind w:firstLine="567"/>
      <w:jc w:val="center"/>
    </w:pPr>
    <w:rPr>
      <w:rFonts w:ascii="Times New Roman" w:hAnsi="Times New Roman"/>
      <w:sz w:val="24"/>
      <w:lang w:val="ru-RU" w:eastAsia="ru-RU" w:bidi="ar-SA"/>
    </w:rPr>
  </w:style>
  <w:style w:type="paragraph" w:styleId="Xl76" w:customStyle="1">
    <w:name w:val="xl76"/>
    <w:basedOn w:val="Normal"/>
    <w:qFormat/>
    <w:rsid w:val="00f62b2a"/>
    <w:pPr>
      <w:pBdr>
        <w:top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77" w:customStyle="1">
    <w:name w:val="xl77"/>
    <w:basedOn w:val="Normal"/>
    <w:qFormat/>
    <w:rsid w:val="00f62b2a"/>
    <w:pPr>
      <w:pBdr>
        <w:left w:val="single" w:sz="8" w:space="0" w:color="000001"/>
        <w:bottom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78" w:customStyle="1">
    <w:name w:val="xl78"/>
    <w:basedOn w:val="Normal"/>
    <w:qFormat/>
    <w:rsid w:val="00f62b2a"/>
    <w:pPr>
      <w:pBdr>
        <w:bottom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79" w:customStyle="1">
    <w:name w:val="xl79"/>
    <w:basedOn w:val="Normal"/>
    <w:qFormat/>
    <w:rsid w:val="00f62b2a"/>
    <w:pPr>
      <w:pBdr>
        <w:top w:val="single" w:sz="8" w:space="0" w:color="00000A"/>
        <w:left w:val="single" w:sz="8" w:space="0" w:color="00000A"/>
        <w:bottom w:val="single" w:sz="8" w:space="0" w:color="00000A"/>
        <w:right w:val="single" w:sz="8" w:space="0" w:color="00000A"/>
      </w:pBdr>
      <w:spacing w:beforeAutospacing="1" w:afterAutospacing="1"/>
      <w:ind w:firstLine="567"/>
      <w:jc w:val="center"/>
    </w:pPr>
    <w:rPr>
      <w:rFonts w:ascii="Times New Roman" w:hAnsi="Times New Roman"/>
      <w:sz w:val="16"/>
      <w:szCs w:val="16"/>
      <w:lang w:val="ru-RU" w:eastAsia="ru-RU" w:bidi="ar-SA"/>
    </w:rPr>
  </w:style>
  <w:style w:type="paragraph" w:styleId="Xl80" w:customStyle="1">
    <w:name w:val="xl80"/>
    <w:basedOn w:val="Normal"/>
    <w:qFormat/>
    <w:rsid w:val="00f62b2a"/>
    <w:pPr>
      <w:pBdr>
        <w:top w:val="single" w:sz="8" w:space="0" w:color="00000A"/>
        <w:bottom w:val="single" w:sz="8" w:space="0" w:color="00000A"/>
        <w:right w:val="single" w:sz="8" w:space="0" w:color="00000A"/>
      </w:pBdr>
      <w:spacing w:beforeAutospacing="1" w:afterAutospacing="1"/>
      <w:ind w:firstLine="567"/>
      <w:jc w:val="center"/>
    </w:pPr>
    <w:rPr>
      <w:rFonts w:ascii="Times New Roman" w:hAnsi="Times New Roman"/>
      <w:sz w:val="16"/>
      <w:szCs w:val="16"/>
      <w:lang w:val="ru-RU" w:eastAsia="ru-RU" w:bidi="ar-SA"/>
    </w:rPr>
  </w:style>
  <w:style w:type="paragraph" w:styleId="Xl81" w:customStyle="1">
    <w:name w:val="xl81"/>
    <w:basedOn w:val="Normal"/>
    <w:qFormat/>
    <w:rsid w:val="00f62b2a"/>
    <w:pPr>
      <w:pBdr>
        <w:left w:val="single" w:sz="8" w:space="0" w:color="00000A"/>
        <w:bottom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82" w:customStyle="1">
    <w:name w:val="xl82"/>
    <w:basedOn w:val="Normal"/>
    <w:qFormat/>
    <w:rsid w:val="00f62b2a"/>
    <w:pPr>
      <w:pBdr>
        <w:left w:val="single" w:sz="8" w:space="0" w:color="00000A"/>
        <w:bottom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83" w:customStyle="1">
    <w:name w:val="xl83"/>
    <w:basedOn w:val="Normal"/>
    <w:qFormat/>
    <w:rsid w:val="00f62b2a"/>
    <w:pPr>
      <w:pBdr>
        <w:bottom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84" w:customStyle="1">
    <w:name w:val="xl84"/>
    <w:basedOn w:val="Normal"/>
    <w:qFormat/>
    <w:rsid w:val="00f62b2a"/>
    <w:pPr>
      <w:pBdr>
        <w:bottom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85" w:customStyle="1">
    <w:name w:val="xl85"/>
    <w:basedOn w:val="Normal"/>
    <w:qFormat/>
    <w:rsid w:val="00f62b2a"/>
    <w:pPr>
      <w:pBdr>
        <w:bottom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86" w:customStyle="1">
    <w:name w:val="xl86"/>
    <w:basedOn w:val="Normal"/>
    <w:qFormat/>
    <w:rsid w:val="00f62b2a"/>
    <w:pPr>
      <w:pBdr>
        <w:left w:val="single" w:sz="8" w:space="0" w:color="00000A"/>
        <w:bottom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87" w:customStyle="1">
    <w:name w:val="xl87"/>
    <w:basedOn w:val="Normal"/>
    <w:qFormat/>
    <w:rsid w:val="00f62b2a"/>
    <w:pPr>
      <w:pBdr>
        <w:left w:val="single" w:sz="8" w:space="0" w:color="00000A"/>
        <w:bottom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Xl88" w:customStyle="1">
    <w:name w:val="xl88"/>
    <w:basedOn w:val="Normal"/>
    <w:qFormat/>
    <w:rsid w:val="00f62b2a"/>
    <w:pPr>
      <w:pBdr>
        <w:left w:val="single" w:sz="8" w:space="0" w:color="00000A"/>
        <w:bottom w:val="single" w:sz="8" w:space="0" w:color="00000A"/>
        <w:right w:val="single" w:sz="8" w:space="0" w:color="00000A"/>
      </w:pBdr>
      <w:spacing w:beforeAutospacing="1" w:afterAutospacing="1"/>
      <w:ind w:firstLine="567"/>
      <w:jc w:val="center"/>
    </w:pPr>
    <w:rPr>
      <w:rFonts w:ascii="Times New Roman" w:hAnsi="Times New Roman"/>
      <w:b/>
      <w:bCs/>
      <w:sz w:val="24"/>
      <w:lang w:val="ru-RU" w:eastAsia="ru-RU" w:bidi="ar-SA"/>
    </w:rPr>
  </w:style>
  <w:style w:type="paragraph" w:styleId="Xl89" w:customStyle="1">
    <w:name w:val="xl89"/>
    <w:basedOn w:val="Normal"/>
    <w:qFormat/>
    <w:rsid w:val="00f62b2a"/>
    <w:pPr>
      <w:pBdr>
        <w:top w:val="single" w:sz="8" w:space="0" w:color="00000A"/>
        <w:left w:val="single" w:sz="8" w:space="0" w:color="00000A"/>
        <w:right w:val="single" w:sz="8" w:space="0" w:color="00000A"/>
      </w:pBdr>
      <w:spacing w:beforeAutospacing="1" w:afterAutospacing="1"/>
      <w:ind w:firstLine="567"/>
      <w:jc w:val="center"/>
    </w:pPr>
    <w:rPr>
      <w:rFonts w:ascii="Times New Roman" w:hAnsi="Times New Roman"/>
      <w:b/>
      <w:bCs/>
      <w:sz w:val="24"/>
      <w:lang w:val="ru-RU" w:eastAsia="ru-RU" w:bidi="ar-SA"/>
    </w:rPr>
  </w:style>
  <w:style w:type="paragraph" w:styleId="Xl90" w:customStyle="1">
    <w:name w:val="xl90"/>
    <w:basedOn w:val="Normal"/>
    <w:qFormat/>
    <w:rsid w:val="00f62b2a"/>
    <w:pPr>
      <w:pBdr>
        <w:top w:val="single" w:sz="8" w:space="0" w:color="00000A"/>
        <w:left w:val="single" w:sz="8" w:space="0" w:color="00000A"/>
      </w:pBdr>
      <w:spacing w:beforeAutospacing="1" w:afterAutospacing="1"/>
      <w:ind w:firstLine="567"/>
      <w:jc w:val="center"/>
    </w:pPr>
    <w:rPr>
      <w:rFonts w:ascii="Times New Roman" w:hAnsi="Times New Roman"/>
      <w:b/>
      <w:bCs/>
      <w:sz w:val="24"/>
      <w:lang w:val="ru-RU" w:eastAsia="ru-RU" w:bidi="ar-SA"/>
    </w:rPr>
  </w:style>
  <w:style w:type="paragraph" w:styleId="Xl91" w:customStyle="1">
    <w:name w:val="xl91"/>
    <w:basedOn w:val="Normal"/>
    <w:qFormat/>
    <w:rsid w:val="00f62b2a"/>
    <w:pPr>
      <w:pBdr>
        <w:top w:val="single" w:sz="8" w:space="0" w:color="00000A"/>
      </w:pBdr>
      <w:spacing w:beforeAutospacing="1" w:afterAutospacing="1"/>
      <w:ind w:firstLine="567"/>
      <w:jc w:val="center"/>
    </w:pPr>
    <w:rPr>
      <w:rFonts w:ascii="Times New Roman" w:hAnsi="Times New Roman"/>
      <w:b/>
      <w:bCs/>
      <w:sz w:val="24"/>
      <w:lang w:val="ru-RU" w:eastAsia="ru-RU" w:bidi="ar-SA"/>
    </w:rPr>
  </w:style>
  <w:style w:type="paragraph" w:styleId="Xl92" w:customStyle="1">
    <w:name w:val="xl92"/>
    <w:basedOn w:val="Normal"/>
    <w:qFormat/>
    <w:rsid w:val="00f62b2a"/>
    <w:pPr>
      <w:pBdr>
        <w:top w:val="single" w:sz="8" w:space="0" w:color="00000A"/>
        <w:right w:val="single" w:sz="8" w:space="0" w:color="00000A"/>
      </w:pBdr>
      <w:spacing w:beforeAutospacing="1" w:afterAutospacing="1"/>
      <w:ind w:firstLine="567"/>
      <w:jc w:val="center"/>
    </w:pPr>
    <w:rPr>
      <w:rFonts w:ascii="Times New Roman" w:hAnsi="Times New Roman"/>
      <w:b/>
      <w:bCs/>
      <w:sz w:val="24"/>
      <w:lang w:val="ru-RU" w:eastAsia="ru-RU" w:bidi="ar-SA"/>
    </w:rPr>
  </w:style>
  <w:style w:type="paragraph" w:styleId="Xl93" w:customStyle="1">
    <w:name w:val="xl93"/>
    <w:basedOn w:val="Normal"/>
    <w:qFormat/>
    <w:rsid w:val="00f62b2a"/>
    <w:pPr>
      <w:pBdr>
        <w:bottom w:val="single" w:sz="8" w:space="0" w:color="00000A"/>
      </w:pBdr>
      <w:spacing w:beforeAutospacing="1" w:afterAutospacing="1"/>
      <w:ind w:firstLine="567"/>
      <w:jc w:val="center"/>
    </w:pPr>
    <w:rPr>
      <w:rFonts w:ascii="Times New Roman" w:hAnsi="Times New Roman"/>
      <w:b/>
      <w:bCs/>
      <w:sz w:val="24"/>
      <w:lang w:val="ru-RU" w:eastAsia="ru-RU" w:bidi="ar-SA"/>
    </w:rPr>
  </w:style>
  <w:style w:type="paragraph" w:styleId="Xl94" w:customStyle="1">
    <w:name w:val="xl94"/>
    <w:basedOn w:val="Normal"/>
    <w:qFormat/>
    <w:rsid w:val="00f62b2a"/>
    <w:pPr>
      <w:pBdr>
        <w:left w:val="single" w:sz="8" w:space="0" w:color="00000A"/>
        <w:bottom w:val="single" w:sz="8" w:space="0" w:color="00000A"/>
      </w:pBdr>
      <w:spacing w:beforeAutospacing="1" w:afterAutospacing="1"/>
      <w:ind w:firstLine="567"/>
      <w:jc w:val="center"/>
    </w:pPr>
    <w:rPr>
      <w:rFonts w:ascii="Times New Roman" w:hAnsi="Times New Roman"/>
      <w:b/>
      <w:bCs/>
      <w:sz w:val="24"/>
      <w:lang w:val="ru-RU" w:eastAsia="ru-RU" w:bidi="ar-SA"/>
    </w:rPr>
  </w:style>
  <w:style w:type="paragraph" w:styleId="Xl95" w:customStyle="1">
    <w:name w:val="xl95"/>
    <w:basedOn w:val="Normal"/>
    <w:qFormat/>
    <w:rsid w:val="00f62b2a"/>
    <w:pPr>
      <w:pBdr>
        <w:bottom w:val="single" w:sz="8" w:space="0" w:color="00000A"/>
        <w:right w:val="single" w:sz="8" w:space="0" w:color="00000A"/>
      </w:pBdr>
      <w:spacing w:beforeAutospacing="1" w:afterAutospacing="1"/>
      <w:ind w:firstLine="567"/>
      <w:jc w:val="center"/>
    </w:pPr>
    <w:rPr>
      <w:rFonts w:ascii="Times New Roman" w:hAnsi="Times New Roman"/>
      <w:b/>
      <w:bCs/>
      <w:sz w:val="24"/>
      <w:lang w:val="ru-RU" w:eastAsia="ru-RU" w:bidi="ar-SA"/>
    </w:rPr>
  </w:style>
  <w:style w:type="paragraph" w:styleId="Xl96" w:customStyle="1">
    <w:name w:val="xl96"/>
    <w:basedOn w:val="Normal"/>
    <w:qFormat/>
    <w:rsid w:val="00f62b2a"/>
    <w:pPr>
      <w:pBdr>
        <w:top w:val="single" w:sz="8" w:space="0" w:color="00000A"/>
        <w:left w:val="single" w:sz="8" w:space="0" w:color="00000A"/>
        <w:bottom w:val="single" w:sz="8" w:space="0" w:color="00000A"/>
      </w:pBdr>
      <w:spacing w:beforeAutospacing="1" w:afterAutospacing="1"/>
      <w:ind w:firstLine="567"/>
      <w:jc w:val="center"/>
    </w:pPr>
    <w:rPr>
      <w:rFonts w:ascii="Times New Roman" w:hAnsi="Times New Roman"/>
      <w:b/>
      <w:bCs/>
      <w:sz w:val="24"/>
      <w:lang w:val="ru-RU" w:eastAsia="ru-RU" w:bidi="ar-SA"/>
    </w:rPr>
  </w:style>
  <w:style w:type="paragraph" w:styleId="Xl97" w:customStyle="1">
    <w:name w:val="xl97"/>
    <w:basedOn w:val="Normal"/>
    <w:qFormat/>
    <w:rsid w:val="00f62b2a"/>
    <w:pPr>
      <w:pBdr>
        <w:top w:val="single" w:sz="8" w:space="0" w:color="00000A"/>
        <w:bottom w:val="single" w:sz="8" w:space="0" w:color="00000A"/>
      </w:pBdr>
      <w:spacing w:beforeAutospacing="1" w:afterAutospacing="1"/>
      <w:ind w:firstLine="567"/>
      <w:jc w:val="center"/>
    </w:pPr>
    <w:rPr>
      <w:rFonts w:ascii="Times New Roman" w:hAnsi="Times New Roman"/>
      <w:b/>
      <w:bCs/>
      <w:sz w:val="24"/>
      <w:lang w:val="ru-RU" w:eastAsia="ru-RU" w:bidi="ar-SA"/>
    </w:rPr>
  </w:style>
  <w:style w:type="paragraph" w:styleId="Xl98" w:customStyle="1">
    <w:name w:val="xl98"/>
    <w:basedOn w:val="Normal"/>
    <w:qFormat/>
    <w:rsid w:val="00f62b2a"/>
    <w:pPr>
      <w:pBdr>
        <w:top w:val="single" w:sz="8" w:space="0" w:color="00000A"/>
        <w:bottom w:val="single" w:sz="8" w:space="0" w:color="00000A"/>
        <w:right w:val="single" w:sz="8" w:space="0" w:color="00000A"/>
      </w:pBdr>
      <w:spacing w:beforeAutospacing="1" w:afterAutospacing="1"/>
      <w:ind w:firstLine="567"/>
      <w:jc w:val="center"/>
    </w:pPr>
    <w:rPr>
      <w:rFonts w:ascii="Times New Roman" w:hAnsi="Times New Roman"/>
      <w:b/>
      <w:bCs/>
      <w:sz w:val="24"/>
      <w:lang w:val="ru-RU" w:eastAsia="ru-RU" w:bidi="ar-SA"/>
    </w:rPr>
  </w:style>
  <w:style w:type="paragraph" w:styleId="Xl99" w:customStyle="1">
    <w:name w:val="xl99"/>
    <w:basedOn w:val="Normal"/>
    <w:qFormat/>
    <w:rsid w:val="00f62b2a"/>
    <w:pPr>
      <w:pBdr>
        <w:top w:val="single" w:sz="8" w:space="0" w:color="00000A"/>
        <w:left w:val="single" w:sz="8" w:space="0" w:color="00000A"/>
        <w:right w:val="single" w:sz="8" w:space="0" w:color="00000A"/>
      </w:pBdr>
      <w:spacing w:beforeAutospacing="1" w:afterAutospacing="1"/>
      <w:ind w:firstLine="567"/>
      <w:jc w:val="center"/>
    </w:pPr>
    <w:rPr>
      <w:rFonts w:ascii="Times New Roman" w:hAnsi="Times New Roman"/>
      <w:sz w:val="24"/>
      <w:lang w:val="ru-RU" w:eastAsia="ru-RU" w:bidi="ar-SA"/>
    </w:rPr>
  </w:style>
  <w:style w:type="paragraph" w:styleId="Style51" w:customStyle="1">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110" w:customStyle="1">
    <w:name w:val="Знак Знак Знак Знак Знак Знак Знак Знак Знак Знак Знак Знак Знак Знак Знак Знак Знак Знак1 Знак Знак Знак Знак 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Style52" w:customStyle="1">
    <w:name w:val="Знак Знак Знак Знак Знак Знак Знак Знак Знак Знак Знак Знак Знак 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114" w:customStyle="1">
    <w:name w:val="Обычный1"/>
    <w:uiPriority w:val="99"/>
    <w:qFormat/>
    <w:rsid w:val="00f62b2a"/>
    <w:pPr>
      <w:widowControl w:val="false"/>
      <w:bidi w:val="0"/>
      <w:spacing w:lineRule="auto" w:line="300" w:before="240" w:after="0"/>
      <w:ind w:firstLine="700"/>
      <w:jc w:val="both"/>
    </w:pPr>
    <w:rPr>
      <w:rFonts w:ascii="Times New Roman" w:hAnsi="Times New Roman" w:eastAsia="Times New Roman" w:cs="Times New Roman"/>
      <w:color w:val="00000A"/>
      <w:sz w:val="24"/>
      <w:szCs w:val="20"/>
      <w:lang w:eastAsia="ru-RU" w:val="ru-RU" w:bidi="ar-SA"/>
    </w:rPr>
  </w:style>
  <w:style w:type="paragraph" w:styleId="115" w:customStyle="1">
    <w:name w:val="Знак Знак1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Style53"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Style54" w:customStyle="1">
    <w:name w:val="Знак Знак Знак Знак Знак Знак Знак Знак Знак Знак Знак Знак Знак Знак Знак Знак 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Style55" w:customStyle="1">
    <w:name w:val="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Style56" w:customStyle="1">
    <w:name w:val="Знак Знак Знак Знак 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116" w:customStyle="1">
    <w:name w:val="Знак Знак1 Знак Знак Знак Знак Знак Знак 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Style57" w:customStyle="1">
    <w:name w:val="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117" w:customStyle="1">
    <w:name w:val="Знак Знак1 Знак Знак Знак Знак Знак 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Style58" w:customStyle="1">
    <w:name w:val="Знак Знак Знак Знак Знак Знак Знак 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Style59" w:customStyle="1">
    <w:name w:val="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118" w:customStyle="1">
    <w:name w:val="Знак Знак1 Знак Знак Знак Знак Знак Знак Знак Знак Знак Знак Знак Знак Знак Знак Знак Знак Знак Знак Знак Знак Знак Знак Знак Знак Знак Знак"/>
    <w:basedOn w:val="Normal"/>
    <w:uiPriority w:val="99"/>
    <w:qFormat/>
    <w:rsid w:val="00f62b2a"/>
    <w:pPr>
      <w:tabs>
        <w:tab w:val="left" w:pos="432" w:leader="none"/>
      </w:tabs>
      <w:spacing w:before="120" w:after="160"/>
      <w:ind w:left="432" w:hanging="432"/>
    </w:pPr>
    <w:rPr>
      <w:rFonts w:ascii="Times New Roman" w:hAnsi="Times New Roman"/>
      <w:b/>
      <w:bCs/>
      <w:caps/>
      <w:sz w:val="32"/>
      <w:szCs w:val="32"/>
      <w:lang w:bidi="ar-SA"/>
    </w:rPr>
  </w:style>
  <w:style w:type="paragraph" w:styleId="CharChar2" w:customStyle="1">
    <w:name w:val="Char Char2"/>
    <w:basedOn w:val="Normal"/>
    <w:uiPriority w:val="99"/>
    <w:qFormat/>
    <w:rsid w:val="00f62b2a"/>
    <w:pPr>
      <w:spacing w:lineRule="exact" w:line="240" w:before="0" w:after="160"/>
      <w:ind w:firstLine="567"/>
    </w:pPr>
    <w:rPr>
      <w:rFonts w:ascii="Verdana" w:hAnsi="Verdana"/>
      <w:sz w:val="20"/>
      <w:szCs w:val="20"/>
      <w:lang w:bidi="ar-SA"/>
    </w:rPr>
  </w:style>
  <w:style w:type="paragraph" w:styleId="CharChar1" w:customStyle="1">
    <w:name w:val="Char Char1"/>
    <w:basedOn w:val="Normal"/>
    <w:uiPriority w:val="99"/>
    <w:qFormat/>
    <w:rsid w:val="00f62b2a"/>
    <w:pPr>
      <w:spacing w:lineRule="exact" w:line="240" w:before="0" w:after="160"/>
      <w:ind w:firstLine="567"/>
    </w:pPr>
    <w:rPr>
      <w:rFonts w:ascii="Verdana" w:hAnsi="Verdana"/>
      <w:sz w:val="20"/>
      <w:szCs w:val="20"/>
      <w:lang w:bidi="ar-SA"/>
    </w:rPr>
  </w:style>
  <w:style w:type="paragraph" w:styleId="Style60" w:customStyle="1">
    <w:name w:val="Обычный без отступа"/>
    <w:basedOn w:val="Normal"/>
    <w:qFormat/>
    <w:rsid w:val="00077cba"/>
    <w:pPr>
      <w:widowControl w:val="false"/>
      <w:spacing w:lineRule="auto" w:line="300"/>
      <w:ind w:hanging="0"/>
      <w:jc w:val="center"/>
    </w:pPr>
    <w:rPr>
      <w:rFonts w:ascii="Calibri" w:hAnsi="Calibri" w:eastAsia="Calibri" w:cs="" w:asciiTheme="minorHAnsi" w:cstheme="minorBidi" w:hAnsiTheme="minorHAnsi"/>
      <w:sz w:val="28"/>
      <w:szCs w:val="28"/>
      <w:lang w:val="ru-RU" w:bidi="ar-SA"/>
    </w:rPr>
  </w:style>
  <w:style w:type="paragraph" w:styleId="119" w:customStyle="1">
    <w:name w:val="1."/>
    <w:basedOn w:val="ListParagraph"/>
    <w:autoRedefine/>
    <w:qFormat/>
    <w:rsid w:val="005a6e37"/>
    <w:pPr>
      <w:suppressAutoHyphens w:val="false"/>
      <w:spacing w:before="0" w:after="0"/>
      <w:contextualSpacing/>
      <w:jc w:val="center"/>
      <w:textAlignment w:val="auto"/>
      <w:outlineLvl w:val="0"/>
    </w:pPr>
    <w:rPr>
      <w:rFonts w:cs="Arial"/>
      <w:b/>
      <w:szCs w:val="26"/>
      <w:lang w:eastAsia="ru-RU"/>
    </w:rPr>
  </w:style>
  <w:style w:type="paragraph" w:styleId="1110" w:customStyle="1">
    <w:name w:val="1.1."/>
    <w:basedOn w:val="ListParagraph"/>
    <w:link w:val="110"/>
    <w:autoRedefine/>
    <w:qFormat/>
    <w:rsid w:val="00077cba"/>
    <w:pPr>
      <w:suppressAutoHyphens w:val="false"/>
      <w:spacing w:lineRule="auto" w:line="300" w:before="0" w:after="0"/>
      <w:jc w:val="center"/>
      <w:textAlignment w:val="auto"/>
      <w:outlineLvl w:val="1"/>
    </w:pPr>
    <w:rPr>
      <w:rFonts w:ascii="Times New Roman" w:hAnsi="Times New Roman"/>
      <w:b/>
      <w:sz w:val="28"/>
      <w:lang w:eastAsia="ru-RU"/>
    </w:rPr>
  </w:style>
  <w:style w:type="paragraph" w:styleId="1111" w:customStyle="1">
    <w:name w:val="1.1.1."/>
    <w:basedOn w:val="ListParagraph"/>
    <w:autoRedefine/>
    <w:qFormat/>
    <w:rsid w:val="00077cba"/>
    <w:pPr>
      <w:suppressAutoHyphens w:val="false"/>
      <w:spacing w:lineRule="auto" w:line="300" w:before="0" w:after="0"/>
      <w:ind w:left="0" w:hanging="0"/>
      <w:contextualSpacing/>
      <w:jc w:val="center"/>
      <w:textAlignment w:val="auto"/>
      <w:outlineLvl w:val="2"/>
    </w:pPr>
    <w:rPr>
      <w:rFonts w:ascii="Times New Roman" w:hAnsi="Times New Roman"/>
      <w:b/>
      <w:sz w:val="28"/>
      <w:lang w:eastAsia="ru-RU" w:bidi="ar-SA"/>
    </w:rPr>
  </w:style>
  <w:style w:type="paragraph" w:styleId="Style61" w:customStyle="1">
    <w:name w:val="Название рисунка"/>
    <w:basedOn w:val="Caption"/>
    <w:qFormat/>
    <w:rsid w:val="00077cba"/>
    <w:pPr>
      <w:suppressAutoHyphens w:val="false"/>
      <w:spacing w:lineRule="auto" w:line="300" w:before="0" w:after="0"/>
      <w:ind w:hanging="0"/>
      <w:jc w:val="center"/>
      <w:textAlignment w:val="auto"/>
    </w:pPr>
    <w:rPr>
      <w:rFonts w:ascii="Times New Roman" w:hAnsi="Times New Roman" w:cs="Times New Roman"/>
      <w:bCs/>
      <w:i w:val="false"/>
      <w:iCs w:val="false"/>
      <w:sz w:val="28"/>
      <w:szCs w:val="18"/>
      <w:lang w:eastAsia="ru-RU" w:bidi="ar-SA"/>
    </w:rPr>
  </w:style>
  <w:style w:type="paragraph" w:styleId="BlockText">
    <w:name w:val="Block Text"/>
    <w:basedOn w:val="Normal"/>
    <w:qFormat/>
    <w:rsid w:val="00077cba"/>
    <w:pPr>
      <w:ind w:left="-851" w:right="-908" w:firstLine="284"/>
      <w:jc w:val="left"/>
    </w:pPr>
    <w:rPr>
      <w:rFonts w:ascii="Times New Roman" w:hAnsi="Times New Roman"/>
      <w:sz w:val="32"/>
      <w:szCs w:val="20"/>
      <w:lang w:val="ru-RU" w:eastAsia="ru-RU" w:bidi="ar-SA"/>
    </w:rPr>
  </w:style>
  <w:style w:type="paragraph" w:styleId="Style62" w:customStyle="1">
    <w:name w:val="Название таблицы"/>
    <w:basedOn w:val="Caption"/>
    <w:autoRedefine/>
    <w:qFormat/>
    <w:rsid w:val="00077cba"/>
    <w:pPr>
      <w:suppressAutoHyphens w:val="false"/>
      <w:spacing w:lineRule="auto" w:line="300" w:before="0" w:after="0"/>
      <w:ind w:hanging="0"/>
      <w:jc w:val="center"/>
      <w:textAlignment w:val="auto"/>
    </w:pPr>
    <w:rPr>
      <w:rFonts w:ascii="Times New Roman" w:hAnsi="Times New Roman" w:cs="Times New Roman"/>
      <w:bCs/>
      <w:i w:val="false"/>
      <w:iCs w:val="false"/>
      <w:sz w:val="28"/>
      <w:szCs w:val="18"/>
      <w:lang w:eastAsia="ru-RU" w:bidi="ar-SA"/>
    </w:rPr>
  </w:style>
  <w:style w:type="paragraph" w:styleId="11111" w:customStyle="1">
    <w:name w:val="1.1.1.1."/>
    <w:basedOn w:val="1111"/>
    <w:qFormat/>
    <w:rsid w:val="00077cba"/>
    <w:pPr>
      <w:widowControl w:val="false"/>
      <w:ind w:left="864" w:hanging="864"/>
      <w:jc w:val="both"/>
    </w:pPr>
    <w:rPr>
      <w:i/>
    </w:rPr>
  </w:style>
  <w:style w:type="paragraph" w:styleId="Style63" w:customStyle="1">
    <w:name w:val="Таблица"/>
    <w:basedOn w:val="Normal"/>
    <w:autoRedefine/>
    <w:qFormat/>
    <w:rsid w:val="00077cba"/>
    <w:pPr>
      <w:widowControl w:val="false"/>
      <w:ind w:hanging="0"/>
    </w:pPr>
    <w:rPr>
      <w:rFonts w:ascii="Times New Roman" w:hAnsi="Times New Roman" w:eastAsia="" w:eastAsiaTheme="minorEastAsia"/>
      <w:sz w:val="28"/>
      <w:szCs w:val="20"/>
      <w:lang w:val="ru-RU" w:eastAsia="ru-RU" w:bidi="ar-SA"/>
    </w:rPr>
  </w:style>
  <w:style w:type="paragraph" w:styleId="Style64" w:customStyle="1">
    <w:name w:val="Текст (сновной)"/>
    <w:basedOn w:val="Normal"/>
    <w:qFormat/>
    <w:rsid w:val="00077cba"/>
    <w:pPr>
      <w:spacing w:lineRule="auto" w:line="300"/>
    </w:pPr>
    <w:rPr>
      <w:rFonts w:ascii="Calibri" w:hAnsi="Calibri" w:eastAsia="Calibri" w:cs="" w:asciiTheme="minorHAnsi" w:cstheme="minorBidi" w:eastAsiaTheme="minorHAnsi" w:hAnsiTheme="minorHAnsi"/>
      <w:sz w:val="28"/>
      <w:szCs w:val="28"/>
      <w:lang w:val="ru-RU" w:eastAsia="ru-RU" w:bidi="ar-SA"/>
    </w:rPr>
  </w:style>
  <w:style w:type="paragraph" w:styleId="Xl100" w:customStyle="1">
    <w:name w:val="xl100"/>
    <w:basedOn w:val="Normal"/>
    <w:qFormat/>
    <w:rsid w:val="00077cba"/>
    <w:pPr>
      <w:pBdr>
        <w:top w:val="single" w:sz="4" w:space="0" w:color="00000A"/>
        <w:left w:val="single" w:sz="4" w:space="0" w:color="00000A"/>
        <w:bottom w:val="single" w:sz="4" w:space="0" w:color="00000A"/>
        <w:right w:val="single" w:sz="4" w:space="0" w:color="00000A"/>
      </w:pBdr>
      <w:shd w:val="clear" w:color="000000" w:fill="FF99CC"/>
      <w:spacing w:beforeAutospacing="1" w:afterAutospacing="1"/>
      <w:ind w:hanging="0"/>
      <w:jc w:val="center"/>
      <w:textAlignment w:val="center"/>
    </w:pPr>
    <w:rPr>
      <w:rFonts w:cs="Arial"/>
      <w:b/>
      <w:bCs/>
      <w:sz w:val="24"/>
      <w:lang w:val="ru-RU" w:eastAsia="ru-RU" w:bidi="ar-SA"/>
    </w:rPr>
  </w:style>
  <w:style w:type="paragraph" w:styleId="Xl101" w:customStyle="1">
    <w:name w:val="xl101"/>
    <w:basedOn w:val="Normal"/>
    <w:qFormat/>
    <w:rsid w:val="00077cba"/>
    <w:pPr>
      <w:pBdr>
        <w:left w:val="single" w:sz="4" w:space="0" w:color="00000A"/>
        <w:bottom w:val="single" w:sz="4" w:space="0" w:color="00000A"/>
        <w:right w:val="single" w:sz="4" w:space="0" w:color="00000A"/>
      </w:pBdr>
      <w:spacing w:beforeAutospacing="1" w:afterAutospacing="1"/>
      <w:ind w:hanging="0"/>
      <w:jc w:val="center"/>
      <w:textAlignment w:val="center"/>
    </w:pPr>
    <w:rPr>
      <w:rFonts w:cs="Arial"/>
      <w:sz w:val="24"/>
      <w:lang w:val="ru-RU" w:eastAsia="ru-RU" w:bidi="ar-SA"/>
    </w:rPr>
  </w:style>
  <w:style w:type="paragraph" w:styleId="Xl102" w:customStyle="1">
    <w:name w:val="xl102"/>
    <w:basedOn w:val="Normal"/>
    <w:qFormat/>
    <w:rsid w:val="00077cba"/>
    <w:pPr>
      <w:pBdr>
        <w:bottom w:val="single" w:sz="4" w:space="0" w:color="00000A"/>
        <w:right w:val="single" w:sz="4" w:space="0" w:color="00000A"/>
      </w:pBdr>
      <w:spacing w:beforeAutospacing="1" w:afterAutospacing="1"/>
      <w:ind w:hanging="0"/>
      <w:jc w:val="center"/>
      <w:textAlignment w:val="center"/>
    </w:pPr>
    <w:rPr>
      <w:rFonts w:cs="Arial"/>
      <w:sz w:val="24"/>
      <w:lang w:val="ru-RU" w:eastAsia="ru-RU" w:bidi="ar-SA"/>
    </w:rPr>
  </w:style>
  <w:style w:type="paragraph" w:styleId="Xl103" w:customStyle="1">
    <w:name w:val="xl103"/>
    <w:basedOn w:val="Normal"/>
    <w:qFormat/>
    <w:rsid w:val="00077cba"/>
    <w:pPr>
      <w:pBdr>
        <w:bottom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04" w:customStyle="1">
    <w:name w:val="xl104"/>
    <w:basedOn w:val="Normal"/>
    <w:qFormat/>
    <w:rsid w:val="00077cba"/>
    <w:pPr>
      <w:pBdr>
        <w:bottom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05" w:customStyle="1">
    <w:name w:val="xl105"/>
    <w:basedOn w:val="Normal"/>
    <w:qFormat/>
    <w:rsid w:val="00077cba"/>
    <w:pPr>
      <w:pBdr>
        <w:top w:val="single" w:sz="4" w:space="0" w:color="00000A"/>
        <w:left w:val="single" w:sz="4" w:space="0" w:color="00000A"/>
        <w:bottom w:val="single" w:sz="4" w:space="0" w:color="00000A"/>
        <w:right w:val="single" w:sz="4" w:space="0" w:color="00000A"/>
      </w:pBdr>
      <w:shd w:val="clear" w:color="000000" w:fill="FFCC99"/>
      <w:spacing w:beforeAutospacing="1" w:afterAutospacing="1"/>
      <w:ind w:hanging="0"/>
      <w:jc w:val="center"/>
      <w:textAlignment w:val="center"/>
    </w:pPr>
    <w:rPr>
      <w:rFonts w:cs="Arial"/>
      <w:sz w:val="24"/>
      <w:lang w:val="ru-RU" w:eastAsia="ru-RU" w:bidi="ar-SA"/>
    </w:rPr>
  </w:style>
  <w:style w:type="paragraph" w:styleId="Xl106" w:customStyle="1">
    <w:name w:val="xl106"/>
    <w:basedOn w:val="Normal"/>
    <w:qFormat/>
    <w:rsid w:val="00077cba"/>
    <w:pPr>
      <w:pBdr>
        <w:top w:val="single" w:sz="4" w:space="0" w:color="00000A"/>
        <w:bottom w:val="single" w:sz="4" w:space="0" w:color="00000A"/>
        <w:right w:val="single" w:sz="4" w:space="0" w:color="00000A"/>
      </w:pBdr>
      <w:shd w:val="clear" w:color="000000" w:fill="FFCC99"/>
      <w:spacing w:beforeAutospacing="1" w:afterAutospacing="1"/>
      <w:ind w:hanging="0"/>
      <w:jc w:val="center"/>
      <w:textAlignment w:val="center"/>
    </w:pPr>
    <w:rPr>
      <w:rFonts w:cs="Arial"/>
      <w:b/>
      <w:bCs/>
      <w:color w:val="FF0000"/>
      <w:sz w:val="24"/>
      <w:lang w:val="ru-RU" w:eastAsia="ru-RU" w:bidi="ar-SA"/>
    </w:rPr>
  </w:style>
  <w:style w:type="paragraph" w:styleId="Xl107" w:customStyle="1">
    <w:name w:val="xl107"/>
    <w:basedOn w:val="Normal"/>
    <w:qFormat/>
    <w:rsid w:val="00077cba"/>
    <w:pPr>
      <w:pBdr>
        <w:top w:val="single" w:sz="4" w:space="0" w:color="00000A"/>
        <w:bottom w:val="single" w:sz="4" w:space="0" w:color="00000A"/>
        <w:right w:val="single" w:sz="4" w:space="0" w:color="00000A"/>
      </w:pBdr>
      <w:shd w:val="clear" w:color="000000" w:fill="FFCC99"/>
      <w:spacing w:beforeAutospacing="1" w:afterAutospacing="1"/>
      <w:ind w:hanging="0"/>
      <w:jc w:val="center"/>
      <w:textAlignment w:val="center"/>
    </w:pPr>
    <w:rPr>
      <w:rFonts w:cs="Arial"/>
      <w:sz w:val="24"/>
      <w:lang w:val="ru-RU" w:eastAsia="ru-RU" w:bidi="ar-SA"/>
    </w:rPr>
  </w:style>
  <w:style w:type="paragraph" w:styleId="Xl108" w:customStyle="1">
    <w:name w:val="xl108"/>
    <w:basedOn w:val="Normal"/>
    <w:qFormat/>
    <w:rsid w:val="00077cba"/>
    <w:pPr>
      <w:pBdr>
        <w:top w:val="single" w:sz="4" w:space="0" w:color="00000A"/>
        <w:left w:val="single" w:sz="4" w:space="0" w:color="00000A"/>
        <w:right w:val="single" w:sz="4" w:space="0" w:color="00000A"/>
      </w:pBdr>
      <w:spacing w:beforeAutospacing="1" w:afterAutospacing="1"/>
      <w:ind w:hanging="0"/>
      <w:jc w:val="center"/>
      <w:textAlignment w:val="center"/>
    </w:pPr>
    <w:rPr>
      <w:rFonts w:cs="Arial"/>
      <w:sz w:val="24"/>
      <w:lang w:val="ru-RU" w:eastAsia="ru-RU" w:bidi="ar-SA"/>
    </w:rPr>
  </w:style>
  <w:style w:type="paragraph" w:styleId="Xl109" w:customStyle="1">
    <w:name w:val="xl109"/>
    <w:basedOn w:val="Normal"/>
    <w:qFormat/>
    <w:rsid w:val="00077cba"/>
    <w:pPr>
      <w:pBdr>
        <w:top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10" w:customStyle="1">
    <w:name w:val="xl110"/>
    <w:basedOn w:val="Normal"/>
    <w:qFormat/>
    <w:rsid w:val="00077cba"/>
    <w:pPr>
      <w:pBdr>
        <w:top w:val="single" w:sz="4" w:space="0" w:color="00000A"/>
        <w:right w:val="single" w:sz="4" w:space="0" w:color="00000A"/>
      </w:pBdr>
      <w:spacing w:beforeAutospacing="1" w:afterAutospacing="1"/>
      <w:ind w:hanging="0"/>
      <w:jc w:val="center"/>
      <w:textAlignment w:val="center"/>
    </w:pPr>
    <w:rPr>
      <w:rFonts w:cs="Arial"/>
      <w:sz w:val="24"/>
      <w:lang w:val="ru-RU" w:eastAsia="ru-RU" w:bidi="ar-SA"/>
    </w:rPr>
  </w:style>
  <w:style w:type="paragraph" w:styleId="Xl111" w:customStyle="1">
    <w:name w:val="xl111"/>
    <w:basedOn w:val="Normal"/>
    <w:qFormat/>
    <w:rsid w:val="00077cba"/>
    <w:pPr>
      <w:pBdr>
        <w:top w:val="single" w:sz="4" w:space="0" w:color="00000A"/>
        <w:right w:val="single" w:sz="4" w:space="0" w:color="00000A"/>
      </w:pBdr>
      <w:spacing w:beforeAutospacing="1" w:afterAutospacing="1"/>
      <w:ind w:hanging="0"/>
      <w:jc w:val="center"/>
      <w:textAlignment w:val="center"/>
    </w:pPr>
    <w:rPr>
      <w:rFonts w:cs="Arial"/>
      <w:b/>
      <w:bCs/>
      <w:color w:val="FF0000"/>
      <w:sz w:val="24"/>
      <w:lang w:val="ru-RU" w:eastAsia="ru-RU" w:bidi="ar-SA"/>
    </w:rPr>
  </w:style>
  <w:style w:type="paragraph" w:styleId="Xl112" w:customStyle="1">
    <w:name w:val="xl112"/>
    <w:basedOn w:val="Normal"/>
    <w:qFormat/>
    <w:rsid w:val="00077cba"/>
    <w:pPr>
      <w:pBdr>
        <w:left w:val="single" w:sz="4" w:space="0" w:color="00000A"/>
        <w:right w:val="single" w:sz="4" w:space="0" w:color="00000A"/>
      </w:pBdr>
      <w:spacing w:beforeAutospacing="1" w:afterAutospacing="1"/>
      <w:ind w:hanging="0"/>
      <w:jc w:val="center"/>
      <w:textAlignment w:val="center"/>
    </w:pPr>
    <w:rPr>
      <w:rFonts w:cs="Arial"/>
      <w:sz w:val="24"/>
      <w:lang w:val="ru-RU" w:eastAsia="ru-RU" w:bidi="ar-SA"/>
    </w:rPr>
  </w:style>
  <w:style w:type="paragraph" w:styleId="Xl113" w:customStyle="1">
    <w:name w:val="xl113"/>
    <w:basedOn w:val="Normal"/>
    <w:qFormat/>
    <w:rsid w:val="00077cba"/>
    <w:pPr>
      <w:pBdr>
        <w:right w:val="single" w:sz="4" w:space="0" w:color="00000A"/>
      </w:pBdr>
      <w:spacing w:beforeAutospacing="1" w:afterAutospacing="1"/>
      <w:ind w:hanging="0"/>
      <w:jc w:val="center"/>
      <w:textAlignment w:val="center"/>
    </w:pPr>
    <w:rPr>
      <w:rFonts w:cs="Arial"/>
      <w:sz w:val="24"/>
      <w:lang w:val="ru-RU" w:eastAsia="ru-RU" w:bidi="ar-SA"/>
    </w:rPr>
  </w:style>
  <w:style w:type="paragraph" w:styleId="Xl114" w:customStyle="1">
    <w:name w:val="xl114"/>
    <w:basedOn w:val="Normal"/>
    <w:qFormat/>
    <w:rsid w:val="00077cba"/>
    <w:pPr>
      <w:pBdr>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15" w:customStyle="1">
    <w:name w:val="xl115"/>
    <w:basedOn w:val="Normal"/>
    <w:qFormat/>
    <w:rsid w:val="00077cba"/>
    <w:pPr>
      <w:pBdr>
        <w:right w:val="single" w:sz="4" w:space="0" w:color="00000A"/>
      </w:pBdr>
      <w:spacing w:beforeAutospacing="1" w:afterAutospacing="1"/>
      <w:ind w:hanging="0"/>
      <w:jc w:val="center"/>
      <w:textAlignment w:val="center"/>
    </w:pPr>
    <w:rPr>
      <w:rFonts w:cs="Arial"/>
      <w:b/>
      <w:bCs/>
      <w:color w:val="0000FF"/>
      <w:sz w:val="24"/>
      <w:lang w:val="ru-RU" w:eastAsia="ru-RU" w:bidi="ar-SA"/>
    </w:rPr>
  </w:style>
  <w:style w:type="paragraph" w:styleId="Xl116" w:customStyle="1">
    <w:name w:val="xl116"/>
    <w:basedOn w:val="Normal"/>
    <w:qFormat/>
    <w:rsid w:val="00077cba"/>
    <w:pPr>
      <w:pBdr>
        <w:right w:val="single" w:sz="4" w:space="0" w:color="00000A"/>
      </w:pBdr>
      <w:spacing w:beforeAutospacing="1" w:afterAutospacing="1"/>
      <w:ind w:hanging="0"/>
      <w:jc w:val="center"/>
      <w:textAlignment w:val="center"/>
    </w:pPr>
    <w:rPr>
      <w:rFonts w:cs="Arial"/>
      <w:sz w:val="24"/>
      <w:lang w:val="ru-RU" w:eastAsia="ru-RU" w:bidi="ar-SA"/>
    </w:rPr>
  </w:style>
  <w:style w:type="paragraph" w:styleId="Xl117" w:customStyle="1">
    <w:name w:val="xl117"/>
    <w:basedOn w:val="Normal"/>
    <w:qFormat/>
    <w:rsid w:val="00077cba"/>
    <w:pPr>
      <w:pBdr>
        <w:top w:val="single" w:sz="4" w:space="0" w:color="00000A"/>
        <w:left w:val="single" w:sz="4" w:space="0" w:color="00000A"/>
        <w:bottom w:val="single" w:sz="4" w:space="0" w:color="00000A"/>
        <w:right w:val="single" w:sz="4" w:space="0" w:color="00000A"/>
      </w:pBdr>
      <w:shd w:val="clear" w:color="000000" w:fill="FFFF00"/>
      <w:spacing w:beforeAutospacing="1" w:afterAutospacing="1"/>
      <w:ind w:hanging="0"/>
      <w:jc w:val="left"/>
      <w:textAlignment w:val="top"/>
    </w:pPr>
    <w:rPr>
      <w:rFonts w:cs="Arial"/>
      <w:sz w:val="22"/>
      <w:szCs w:val="22"/>
      <w:lang w:val="ru-RU" w:eastAsia="ru-RU" w:bidi="ar-SA"/>
    </w:rPr>
  </w:style>
  <w:style w:type="paragraph" w:styleId="Xl118" w:customStyle="1">
    <w:name w:val="xl118"/>
    <w:basedOn w:val="Normal"/>
    <w:qFormat/>
    <w:rsid w:val="00077cba"/>
    <w:pPr>
      <w:shd w:val="clear" w:color="000000" w:fill="FFFF00"/>
      <w:spacing w:beforeAutospacing="1" w:afterAutospacing="1"/>
      <w:ind w:hanging="0"/>
      <w:jc w:val="left"/>
    </w:pPr>
    <w:rPr>
      <w:rFonts w:ascii="Times New Roman" w:hAnsi="Times New Roman"/>
      <w:sz w:val="24"/>
      <w:lang w:val="ru-RU" w:eastAsia="ru-RU" w:bidi="ar-SA"/>
    </w:rPr>
  </w:style>
  <w:style w:type="paragraph" w:styleId="Xl119" w:customStyle="1">
    <w:name w:val="xl119"/>
    <w:basedOn w:val="Normal"/>
    <w:qFormat/>
    <w:rsid w:val="00077cba"/>
    <w:pPr>
      <w:pBdr>
        <w:top w:val="single" w:sz="4" w:space="0" w:color="00000A"/>
        <w:left w:val="single" w:sz="4" w:space="0" w:color="00000A"/>
        <w:bottom w:val="single" w:sz="4" w:space="0" w:color="00000A"/>
        <w:right w:val="single" w:sz="4" w:space="0" w:color="00000A"/>
      </w:pBdr>
      <w:shd w:val="clear" w:color="000000" w:fill="FFFF00"/>
      <w:spacing w:beforeAutospacing="1" w:afterAutospacing="1"/>
      <w:ind w:hanging="0"/>
      <w:jc w:val="left"/>
      <w:textAlignment w:val="center"/>
    </w:pPr>
    <w:rPr>
      <w:rFonts w:cs="Arial"/>
      <w:b/>
      <w:bCs/>
      <w:sz w:val="24"/>
      <w:lang w:val="ru-RU" w:eastAsia="ru-RU" w:bidi="ar-SA"/>
    </w:rPr>
  </w:style>
  <w:style w:type="paragraph" w:styleId="Xl120" w:customStyle="1">
    <w:name w:val="xl120"/>
    <w:basedOn w:val="Normal"/>
    <w:qFormat/>
    <w:rsid w:val="00077cba"/>
    <w:pPr>
      <w:pBdr>
        <w:top w:val="single" w:sz="4" w:space="0" w:color="00000A"/>
        <w:left w:val="single" w:sz="4" w:space="0" w:color="00000A"/>
        <w:bottom w:val="single" w:sz="4" w:space="0" w:color="00000A"/>
        <w:right w:val="single" w:sz="4" w:space="0" w:color="00000A"/>
      </w:pBdr>
      <w:shd w:val="clear" w:color="000000" w:fill="FFFF00"/>
      <w:spacing w:beforeAutospacing="1" w:afterAutospacing="1"/>
      <w:ind w:hanging="0"/>
      <w:jc w:val="center"/>
      <w:textAlignment w:val="center"/>
    </w:pPr>
    <w:rPr>
      <w:rFonts w:cs="Arial"/>
      <w:sz w:val="22"/>
      <w:szCs w:val="22"/>
      <w:lang w:val="ru-RU" w:eastAsia="ru-RU" w:bidi="ar-SA"/>
    </w:rPr>
  </w:style>
  <w:style w:type="paragraph" w:styleId="Xl121" w:customStyle="1">
    <w:name w:val="xl121"/>
    <w:basedOn w:val="Normal"/>
    <w:qFormat/>
    <w:rsid w:val="00077cba"/>
    <w:pPr>
      <w:pBdr>
        <w:top w:val="single" w:sz="4" w:space="0" w:color="00000A"/>
        <w:left w:val="single" w:sz="4" w:space="0" w:color="00000A"/>
        <w:bottom w:val="single" w:sz="4" w:space="0" w:color="00000A"/>
        <w:right w:val="single" w:sz="4" w:space="0" w:color="00000A"/>
      </w:pBdr>
      <w:shd w:val="clear" w:color="000000" w:fill="FFFF00"/>
      <w:spacing w:beforeAutospacing="1" w:afterAutospacing="1"/>
      <w:ind w:hanging="0"/>
      <w:jc w:val="center"/>
      <w:textAlignment w:val="top"/>
    </w:pPr>
    <w:rPr>
      <w:rFonts w:cs="Arial"/>
      <w:b/>
      <w:bCs/>
      <w:sz w:val="22"/>
      <w:szCs w:val="22"/>
      <w:lang w:val="ru-RU" w:eastAsia="ru-RU" w:bidi="ar-SA"/>
    </w:rPr>
  </w:style>
  <w:style w:type="paragraph" w:styleId="Xl122" w:customStyle="1">
    <w:name w:val="xl122"/>
    <w:basedOn w:val="Normal"/>
    <w:qFormat/>
    <w:rsid w:val="00077cba"/>
    <w:pPr>
      <w:pBdr>
        <w:top w:val="single" w:sz="4" w:space="0" w:color="00000A"/>
        <w:left w:val="single" w:sz="4" w:space="0" w:color="00000A"/>
        <w:bottom w:val="single" w:sz="4" w:space="0" w:color="00000A"/>
        <w:right w:val="single" w:sz="4" w:space="0" w:color="00000A"/>
      </w:pBdr>
      <w:shd w:val="clear" w:color="000000" w:fill="FFCC99"/>
      <w:spacing w:beforeAutospacing="1" w:afterAutospacing="1"/>
      <w:ind w:hanging="0"/>
      <w:jc w:val="left"/>
      <w:textAlignment w:val="center"/>
    </w:pPr>
    <w:rPr>
      <w:rFonts w:cs="Arial"/>
      <w:b/>
      <w:bCs/>
      <w:sz w:val="24"/>
      <w:lang w:val="ru-RU" w:eastAsia="ru-RU" w:bidi="ar-SA"/>
    </w:rPr>
  </w:style>
  <w:style w:type="paragraph" w:styleId="Xl123" w:customStyle="1">
    <w:name w:val="xl123"/>
    <w:basedOn w:val="Normal"/>
    <w:qFormat/>
    <w:rsid w:val="00077cba"/>
    <w:pPr>
      <w:pBdr>
        <w:top w:val="single" w:sz="4" w:space="0" w:color="00000A"/>
        <w:left w:val="single" w:sz="4" w:space="0" w:color="00000A"/>
        <w:bottom w:val="single" w:sz="4" w:space="0" w:color="00000A"/>
        <w:right w:val="single" w:sz="4" w:space="0" w:color="00000A"/>
      </w:pBdr>
      <w:shd w:val="clear" w:color="000000" w:fill="FFCC99"/>
      <w:spacing w:beforeAutospacing="1" w:afterAutospacing="1"/>
      <w:ind w:hanging="0"/>
      <w:jc w:val="center"/>
      <w:textAlignment w:val="center"/>
    </w:pPr>
    <w:rPr>
      <w:rFonts w:cs="Arial"/>
      <w:sz w:val="24"/>
      <w:lang w:val="ru-RU" w:eastAsia="ru-RU" w:bidi="ar-SA"/>
    </w:rPr>
  </w:style>
  <w:style w:type="paragraph" w:styleId="Xl124" w:customStyle="1">
    <w:name w:val="xl124"/>
    <w:basedOn w:val="Normal"/>
    <w:qFormat/>
    <w:rsid w:val="00077cba"/>
    <w:pPr>
      <w:pBdr>
        <w:top w:val="single" w:sz="4" w:space="0" w:color="000001"/>
        <w:left w:val="single" w:sz="4" w:space="0" w:color="000001"/>
        <w:bottom w:val="single" w:sz="4" w:space="0" w:color="000001"/>
        <w:right w:val="single" w:sz="4" w:space="0" w:color="000001"/>
      </w:pBdr>
      <w:spacing w:beforeAutospacing="1" w:afterAutospacing="1"/>
      <w:ind w:hanging="0"/>
      <w:jc w:val="left"/>
    </w:pPr>
    <w:rPr>
      <w:rFonts w:cs="Arial"/>
      <w:color w:val="000000"/>
      <w:sz w:val="24"/>
      <w:lang w:val="ru-RU" w:eastAsia="ru-RU" w:bidi="ar-SA"/>
    </w:rPr>
  </w:style>
  <w:style w:type="paragraph" w:styleId="Xl125" w:customStyle="1">
    <w:name w:val="xl125"/>
    <w:basedOn w:val="Normal"/>
    <w:qFormat/>
    <w:rsid w:val="00077cba"/>
    <w:pPr>
      <w:pBdr>
        <w:top w:val="single" w:sz="4" w:space="0" w:color="000001"/>
        <w:left w:val="single" w:sz="4" w:space="0" w:color="000001"/>
        <w:bottom w:val="single" w:sz="4" w:space="0" w:color="000001"/>
        <w:right w:val="single" w:sz="4" w:space="0" w:color="000001"/>
      </w:pBdr>
      <w:spacing w:beforeAutospacing="1" w:afterAutospacing="1"/>
      <w:ind w:hanging="0"/>
      <w:jc w:val="right"/>
    </w:pPr>
    <w:rPr>
      <w:rFonts w:cs="Arial"/>
      <w:color w:val="000000"/>
      <w:sz w:val="24"/>
      <w:lang w:val="ru-RU" w:eastAsia="ru-RU" w:bidi="ar-SA"/>
    </w:rPr>
  </w:style>
  <w:style w:type="paragraph" w:styleId="Xl126" w:customStyle="1">
    <w:name w:val="xl126"/>
    <w:basedOn w:val="Normal"/>
    <w:qFormat/>
    <w:rsid w:val="00077cba"/>
    <w:pPr>
      <w:pBdr>
        <w:top w:val="single" w:sz="4" w:space="0" w:color="00000A"/>
        <w:left w:val="single" w:sz="4" w:space="0" w:color="00000A"/>
        <w:bottom w:val="single" w:sz="4" w:space="0" w:color="00000A"/>
      </w:pBdr>
      <w:spacing w:beforeAutospacing="1" w:afterAutospacing="1"/>
      <w:ind w:hanging="0"/>
      <w:jc w:val="center"/>
      <w:textAlignment w:val="center"/>
    </w:pPr>
    <w:rPr>
      <w:rFonts w:cs="Arial"/>
      <w:sz w:val="24"/>
      <w:lang w:val="ru-RU" w:eastAsia="ru-RU" w:bidi="ar-SA"/>
    </w:rPr>
  </w:style>
  <w:style w:type="paragraph" w:styleId="Xl127" w:customStyle="1">
    <w:name w:val="xl127"/>
    <w:basedOn w:val="Normal"/>
    <w:qFormat/>
    <w:rsid w:val="00077cba"/>
    <w:pPr>
      <w:pBdr>
        <w:top w:val="single" w:sz="4" w:space="0" w:color="00000A"/>
        <w:left w:val="single" w:sz="4" w:space="0" w:color="00000A"/>
        <w:bottom w:val="single" w:sz="4" w:space="0" w:color="00000A"/>
        <w:right w:val="single" w:sz="4" w:space="0" w:color="00000A"/>
      </w:pBdr>
      <w:spacing w:beforeAutospacing="1" w:afterAutospacing="1"/>
      <w:ind w:hanging="0"/>
      <w:jc w:val="center"/>
      <w:textAlignment w:val="center"/>
    </w:pPr>
    <w:rPr>
      <w:rFonts w:cs="Arial"/>
      <w:sz w:val="24"/>
      <w:lang w:val="ru-RU" w:eastAsia="ru-RU" w:bidi="ar-SA"/>
    </w:rPr>
  </w:style>
  <w:style w:type="paragraph" w:styleId="Xl128" w:customStyle="1">
    <w:name w:val="xl128"/>
    <w:basedOn w:val="Normal"/>
    <w:qFormat/>
    <w:rsid w:val="00077cba"/>
    <w:pPr>
      <w:pBdr>
        <w:top w:val="single" w:sz="4" w:space="0" w:color="00000A"/>
        <w:left w:val="single" w:sz="4" w:space="0" w:color="00000A"/>
        <w:bottom w:val="single" w:sz="4" w:space="0" w:color="00000A"/>
        <w:right w:val="single" w:sz="4" w:space="0" w:color="00000A"/>
      </w:pBdr>
      <w:spacing w:beforeAutospacing="1" w:afterAutospacing="1"/>
      <w:ind w:hanging="0"/>
      <w:jc w:val="center"/>
    </w:pPr>
    <w:rPr>
      <w:rFonts w:cs="Arial"/>
      <w:sz w:val="24"/>
      <w:lang w:val="ru-RU" w:eastAsia="ru-RU" w:bidi="ar-SA"/>
    </w:rPr>
  </w:style>
  <w:style w:type="paragraph" w:styleId="Xl129" w:customStyle="1">
    <w:name w:val="xl129"/>
    <w:basedOn w:val="Normal"/>
    <w:qFormat/>
    <w:rsid w:val="00077cba"/>
    <w:pPr>
      <w:pBdr>
        <w:top w:val="single" w:sz="4" w:space="0" w:color="000001"/>
        <w:left w:val="single" w:sz="4" w:space="0" w:color="000001"/>
        <w:bottom w:val="single" w:sz="4" w:space="0" w:color="000001"/>
        <w:right w:val="single" w:sz="4" w:space="0" w:color="000001"/>
      </w:pBdr>
      <w:spacing w:beforeAutospacing="1" w:afterAutospacing="1"/>
      <w:ind w:hanging="0"/>
      <w:jc w:val="left"/>
    </w:pPr>
    <w:rPr>
      <w:rFonts w:cs="Arial"/>
      <w:sz w:val="24"/>
      <w:lang w:val="ru-RU" w:eastAsia="ru-RU" w:bidi="ar-SA"/>
    </w:rPr>
  </w:style>
  <w:style w:type="paragraph" w:styleId="Xl130" w:customStyle="1">
    <w:name w:val="xl130"/>
    <w:basedOn w:val="Normal"/>
    <w:qFormat/>
    <w:rsid w:val="00077cba"/>
    <w:pPr>
      <w:pBdr>
        <w:top w:val="single" w:sz="4" w:space="0" w:color="000001"/>
        <w:left w:val="single" w:sz="4" w:space="0" w:color="000001"/>
        <w:bottom w:val="single" w:sz="4" w:space="0" w:color="000001"/>
        <w:right w:val="single" w:sz="4" w:space="0" w:color="000001"/>
      </w:pBdr>
      <w:spacing w:beforeAutospacing="1" w:afterAutospacing="1"/>
      <w:ind w:hanging="0"/>
      <w:jc w:val="right"/>
    </w:pPr>
    <w:rPr>
      <w:rFonts w:cs="Arial"/>
      <w:sz w:val="24"/>
      <w:lang w:val="ru-RU" w:eastAsia="ru-RU" w:bidi="ar-SA"/>
    </w:rPr>
  </w:style>
  <w:style w:type="paragraph" w:styleId="Xl131" w:customStyle="1">
    <w:name w:val="xl131"/>
    <w:basedOn w:val="Normal"/>
    <w:qFormat/>
    <w:rsid w:val="00077cba"/>
    <w:pPr>
      <w:pBdr>
        <w:top w:val="single" w:sz="4" w:space="0" w:color="00000A"/>
        <w:left w:val="single" w:sz="4" w:space="0" w:color="00000A"/>
        <w:bottom w:val="single" w:sz="4" w:space="0" w:color="00000A"/>
        <w:right w:val="single" w:sz="4" w:space="0" w:color="00000A"/>
      </w:pBdr>
      <w:spacing w:beforeAutospacing="1" w:afterAutospacing="1"/>
      <w:ind w:hanging="0"/>
      <w:jc w:val="center"/>
    </w:pPr>
    <w:rPr>
      <w:rFonts w:cs="Arial"/>
      <w:sz w:val="24"/>
      <w:lang w:val="ru-RU" w:eastAsia="ru-RU" w:bidi="ar-SA"/>
    </w:rPr>
  </w:style>
  <w:style w:type="paragraph" w:styleId="Xl132" w:customStyle="1">
    <w:name w:val="xl132"/>
    <w:basedOn w:val="Normal"/>
    <w:qFormat/>
    <w:rsid w:val="00077cba"/>
    <w:pPr>
      <w:pBdr>
        <w:top w:val="single" w:sz="4" w:space="0" w:color="00000A"/>
        <w:left w:val="single" w:sz="4" w:space="0" w:color="00000A"/>
        <w:bottom w:val="single" w:sz="4" w:space="0" w:color="00000A"/>
      </w:pBdr>
      <w:spacing w:beforeAutospacing="1" w:afterAutospacing="1"/>
      <w:ind w:hanging="0"/>
      <w:jc w:val="center"/>
      <w:textAlignment w:val="center"/>
    </w:pPr>
    <w:rPr>
      <w:rFonts w:cs="Arial"/>
      <w:sz w:val="24"/>
      <w:lang w:val="ru-RU" w:eastAsia="ru-RU" w:bidi="ar-SA"/>
    </w:rPr>
  </w:style>
  <w:style w:type="paragraph" w:styleId="Xl133" w:customStyle="1">
    <w:name w:val="xl133"/>
    <w:basedOn w:val="Normal"/>
    <w:qFormat/>
    <w:rsid w:val="00077cba"/>
    <w:pPr>
      <w:pBdr>
        <w:top w:val="single" w:sz="4" w:space="0" w:color="00000A"/>
        <w:left w:val="single" w:sz="4" w:space="0" w:color="00000A"/>
        <w:bottom w:val="single" w:sz="4" w:space="0" w:color="00000A"/>
        <w:right w:val="single" w:sz="4" w:space="0" w:color="00000A"/>
      </w:pBdr>
      <w:spacing w:beforeAutospacing="1" w:afterAutospacing="1"/>
      <w:ind w:hanging="0"/>
      <w:jc w:val="center"/>
    </w:pPr>
    <w:rPr>
      <w:rFonts w:cs="Arial"/>
      <w:sz w:val="24"/>
      <w:lang w:val="ru-RU" w:eastAsia="ru-RU" w:bidi="ar-SA"/>
    </w:rPr>
  </w:style>
  <w:style w:type="paragraph" w:styleId="Xl134" w:customStyle="1">
    <w:name w:val="xl134"/>
    <w:basedOn w:val="Normal"/>
    <w:qFormat/>
    <w:rsid w:val="00077cba"/>
    <w:pPr>
      <w:pBdr>
        <w:top w:val="single" w:sz="4" w:space="0" w:color="00000A"/>
        <w:left w:val="single" w:sz="4" w:space="0" w:color="00000A"/>
        <w:bottom w:val="single" w:sz="4" w:space="0" w:color="00000A"/>
        <w:right w:val="single" w:sz="4" w:space="0" w:color="00000A"/>
      </w:pBdr>
      <w:spacing w:beforeAutospacing="1" w:afterAutospacing="1"/>
      <w:ind w:hanging="0"/>
      <w:jc w:val="center"/>
    </w:pPr>
    <w:rPr>
      <w:rFonts w:cs="Arial"/>
      <w:sz w:val="24"/>
      <w:lang w:val="ru-RU" w:eastAsia="ru-RU" w:bidi="ar-SA"/>
    </w:rPr>
  </w:style>
  <w:style w:type="paragraph" w:styleId="Xl135" w:customStyle="1">
    <w:name w:val="xl135"/>
    <w:basedOn w:val="Normal"/>
    <w:qFormat/>
    <w:rsid w:val="00077cba"/>
    <w:pPr>
      <w:pBdr>
        <w:top w:val="single" w:sz="4" w:space="0" w:color="00000A"/>
        <w:left w:val="single" w:sz="4" w:space="0" w:color="00000A"/>
        <w:right w:val="single" w:sz="4" w:space="0" w:color="00000A"/>
      </w:pBdr>
      <w:shd w:val="clear" w:color="000000" w:fill="FF99CC"/>
      <w:spacing w:beforeAutospacing="1" w:afterAutospacing="1"/>
      <w:ind w:hanging="0"/>
      <w:jc w:val="center"/>
      <w:textAlignment w:val="center"/>
    </w:pPr>
    <w:rPr>
      <w:rFonts w:cs="Arial"/>
      <w:b/>
      <w:bCs/>
      <w:color w:val="000000"/>
      <w:sz w:val="22"/>
      <w:szCs w:val="22"/>
      <w:lang w:val="ru-RU" w:eastAsia="ru-RU" w:bidi="ar-SA"/>
    </w:rPr>
  </w:style>
  <w:style w:type="paragraph" w:styleId="Xl136" w:customStyle="1">
    <w:name w:val="xl136"/>
    <w:basedOn w:val="Normal"/>
    <w:qFormat/>
    <w:rsid w:val="00077cba"/>
    <w:pPr>
      <w:pBdr>
        <w:top w:val="single" w:sz="4" w:space="0" w:color="00000A"/>
        <w:left w:val="single" w:sz="4" w:space="0" w:color="00000A"/>
        <w:right w:val="single" w:sz="4" w:space="0" w:color="00000A"/>
      </w:pBdr>
      <w:shd w:val="clear" w:color="000000" w:fill="FF99CC"/>
      <w:spacing w:beforeAutospacing="1" w:afterAutospacing="1"/>
      <w:ind w:hanging="0"/>
      <w:jc w:val="center"/>
      <w:textAlignment w:val="center"/>
    </w:pPr>
    <w:rPr>
      <w:rFonts w:cs="Arial"/>
      <w:b/>
      <w:bCs/>
      <w:color w:val="000000"/>
      <w:sz w:val="22"/>
      <w:szCs w:val="22"/>
      <w:lang w:val="ru-RU" w:eastAsia="ru-RU" w:bidi="ar-SA"/>
    </w:rPr>
  </w:style>
  <w:style w:type="paragraph" w:styleId="Xl137" w:customStyle="1">
    <w:name w:val="xl137"/>
    <w:basedOn w:val="Normal"/>
    <w:qFormat/>
    <w:rsid w:val="00077cba"/>
    <w:pPr>
      <w:pBdr>
        <w:top w:val="single" w:sz="4" w:space="0" w:color="00000A"/>
        <w:left w:val="single" w:sz="4" w:space="0" w:color="00000A"/>
        <w:right w:val="single" w:sz="4" w:space="0" w:color="00000A"/>
      </w:pBdr>
      <w:shd w:val="clear" w:color="000000" w:fill="FF99CC"/>
      <w:spacing w:beforeAutospacing="1" w:afterAutospacing="1"/>
      <w:ind w:hanging="0"/>
      <w:jc w:val="left"/>
      <w:textAlignment w:val="center"/>
    </w:pPr>
    <w:rPr>
      <w:rFonts w:cs="Arial"/>
      <w:b/>
      <w:bCs/>
      <w:color w:val="000000"/>
      <w:sz w:val="24"/>
      <w:lang w:val="ru-RU" w:eastAsia="ru-RU" w:bidi="ar-SA"/>
    </w:rPr>
  </w:style>
  <w:style w:type="paragraph" w:styleId="Xl138" w:customStyle="1">
    <w:name w:val="xl138"/>
    <w:basedOn w:val="Normal"/>
    <w:qFormat/>
    <w:rsid w:val="00077cba"/>
    <w:pPr>
      <w:pBdr>
        <w:top w:val="single" w:sz="4" w:space="0" w:color="00000A"/>
        <w:left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39" w:customStyle="1">
    <w:name w:val="xl139"/>
    <w:basedOn w:val="Normal"/>
    <w:qFormat/>
    <w:rsid w:val="00077cba"/>
    <w:pPr>
      <w:pBdr>
        <w:left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40" w:customStyle="1">
    <w:name w:val="xl140"/>
    <w:basedOn w:val="Normal"/>
    <w:qFormat/>
    <w:rsid w:val="00077cba"/>
    <w:pPr>
      <w:pBdr>
        <w:left w:val="single" w:sz="4" w:space="0" w:color="00000A"/>
        <w:bottom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41" w:customStyle="1">
    <w:name w:val="xl141"/>
    <w:basedOn w:val="Normal"/>
    <w:qFormat/>
    <w:rsid w:val="00077cba"/>
    <w:pPr>
      <w:pBdr>
        <w:top w:val="single" w:sz="4" w:space="0" w:color="00000A"/>
        <w:left w:val="single" w:sz="4" w:space="0" w:color="00000A"/>
        <w:bottom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42" w:customStyle="1">
    <w:name w:val="xl142"/>
    <w:basedOn w:val="Normal"/>
    <w:qFormat/>
    <w:rsid w:val="00077cba"/>
    <w:pPr>
      <w:pBdr>
        <w:top w:val="single" w:sz="4" w:space="0" w:color="00000A"/>
        <w:left w:val="single" w:sz="4" w:space="0" w:color="00000A"/>
      </w:pBdr>
      <w:shd w:val="clear" w:color="000000" w:fill="FF99CC"/>
      <w:spacing w:beforeAutospacing="1" w:afterAutospacing="1"/>
      <w:ind w:hanging="0"/>
      <w:jc w:val="center"/>
      <w:textAlignment w:val="center"/>
    </w:pPr>
    <w:rPr>
      <w:rFonts w:cs="Arial"/>
      <w:b/>
      <w:bCs/>
      <w:color w:val="000000"/>
      <w:sz w:val="24"/>
      <w:lang w:val="ru-RU" w:eastAsia="ru-RU" w:bidi="ar-SA"/>
    </w:rPr>
  </w:style>
  <w:style w:type="paragraph" w:styleId="Xl143" w:customStyle="1">
    <w:name w:val="xl143"/>
    <w:basedOn w:val="Normal"/>
    <w:qFormat/>
    <w:rsid w:val="00077cba"/>
    <w:pPr>
      <w:pBdr>
        <w:top w:val="single" w:sz="4" w:space="0" w:color="00000A"/>
        <w:right w:val="single" w:sz="4" w:space="0" w:color="00000A"/>
      </w:pBdr>
      <w:shd w:val="clear" w:color="000000" w:fill="FF99CC"/>
      <w:spacing w:beforeAutospacing="1" w:afterAutospacing="1"/>
      <w:ind w:hanging="0"/>
      <w:jc w:val="center"/>
      <w:textAlignment w:val="center"/>
    </w:pPr>
    <w:rPr>
      <w:rFonts w:cs="Arial"/>
      <w:b/>
      <w:bCs/>
      <w:color w:val="000000"/>
      <w:sz w:val="24"/>
      <w:lang w:val="ru-RU" w:eastAsia="ru-RU" w:bidi="ar-SA"/>
    </w:rPr>
  </w:style>
  <w:style w:type="paragraph" w:styleId="Xl144" w:customStyle="1">
    <w:name w:val="xl144"/>
    <w:basedOn w:val="Normal"/>
    <w:qFormat/>
    <w:rsid w:val="00077cba"/>
    <w:pPr>
      <w:pBdr>
        <w:top w:val="single" w:sz="4" w:space="0" w:color="00000A"/>
        <w:left w:val="single" w:sz="4" w:space="0" w:color="00000A"/>
        <w:bottom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45" w:customStyle="1">
    <w:name w:val="xl145"/>
    <w:basedOn w:val="Normal"/>
    <w:qFormat/>
    <w:rsid w:val="00077cba"/>
    <w:pPr>
      <w:pBdr>
        <w:top w:val="single" w:sz="4" w:space="0" w:color="00000A"/>
        <w:left w:val="single" w:sz="4" w:space="0" w:color="00000A"/>
        <w:bottom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46" w:customStyle="1">
    <w:name w:val="xl146"/>
    <w:basedOn w:val="Normal"/>
    <w:qFormat/>
    <w:rsid w:val="00077cba"/>
    <w:pPr>
      <w:pBdr>
        <w:top w:val="single" w:sz="4" w:space="0" w:color="00000A"/>
        <w:left w:val="single" w:sz="4" w:space="0" w:color="00000A"/>
      </w:pBdr>
      <w:spacing w:beforeAutospacing="1" w:afterAutospacing="1"/>
      <w:ind w:hanging="0"/>
      <w:jc w:val="center"/>
    </w:pPr>
    <w:rPr>
      <w:rFonts w:cs="Arial"/>
      <w:b/>
      <w:bCs/>
      <w:sz w:val="24"/>
      <w:lang w:val="ru-RU" w:eastAsia="ru-RU" w:bidi="ar-SA"/>
    </w:rPr>
  </w:style>
  <w:style w:type="paragraph" w:styleId="Xl147" w:customStyle="1">
    <w:name w:val="xl147"/>
    <w:basedOn w:val="Normal"/>
    <w:qFormat/>
    <w:rsid w:val="00077cba"/>
    <w:pPr>
      <w:pBdr>
        <w:top w:val="single" w:sz="4" w:space="0" w:color="00000A"/>
      </w:pBdr>
      <w:spacing w:beforeAutospacing="1" w:afterAutospacing="1"/>
      <w:ind w:hanging="0"/>
      <w:jc w:val="center"/>
    </w:pPr>
    <w:rPr>
      <w:rFonts w:cs="Arial"/>
      <w:b/>
      <w:bCs/>
      <w:sz w:val="24"/>
      <w:lang w:val="ru-RU" w:eastAsia="ru-RU" w:bidi="ar-SA"/>
    </w:rPr>
  </w:style>
  <w:style w:type="paragraph" w:styleId="Xl148" w:customStyle="1">
    <w:name w:val="xl148"/>
    <w:basedOn w:val="Normal"/>
    <w:qFormat/>
    <w:rsid w:val="00077cba"/>
    <w:pPr>
      <w:pBdr>
        <w:top w:val="single" w:sz="4" w:space="0" w:color="00000A"/>
        <w:right w:val="single" w:sz="4" w:space="0" w:color="00000A"/>
      </w:pBdr>
      <w:spacing w:beforeAutospacing="1" w:afterAutospacing="1"/>
      <w:ind w:hanging="0"/>
      <w:jc w:val="center"/>
    </w:pPr>
    <w:rPr>
      <w:rFonts w:cs="Arial"/>
      <w:b/>
      <w:bCs/>
      <w:sz w:val="24"/>
      <w:lang w:val="ru-RU" w:eastAsia="ru-RU" w:bidi="ar-SA"/>
    </w:rPr>
  </w:style>
  <w:style w:type="paragraph" w:styleId="Xl149" w:customStyle="1">
    <w:name w:val="xl149"/>
    <w:basedOn w:val="Normal"/>
    <w:qFormat/>
    <w:rsid w:val="00077cba"/>
    <w:pPr>
      <w:pBdr>
        <w:top w:val="single" w:sz="4" w:space="0" w:color="00000A"/>
      </w:pBdr>
      <w:spacing w:beforeAutospacing="1" w:afterAutospacing="1"/>
      <w:ind w:hanging="0"/>
      <w:jc w:val="center"/>
    </w:pPr>
    <w:rPr>
      <w:rFonts w:cs="Arial"/>
      <w:b/>
      <w:bCs/>
      <w:sz w:val="24"/>
      <w:lang w:val="ru-RU" w:eastAsia="ru-RU" w:bidi="ar-SA"/>
    </w:rPr>
  </w:style>
  <w:style w:type="paragraph" w:styleId="Xl150" w:customStyle="1">
    <w:name w:val="xl150"/>
    <w:basedOn w:val="Normal"/>
    <w:qFormat/>
    <w:rsid w:val="00077cba"/>
    <w:pPr>
      <w:pBdr>
        <w:top w:val="single" w:sz="4" w:space="0" w:color="00000A"/>
        <w:right w:val="single" w:sz="4" w:space="0" w:color="00000A"/>
      </w:pBdr>
      <w:spacing w:beforeAutospacing="1" w:afterAutospacing="1"/>
      <w:ind w:hanging="0"/>
      <w:jc w:val="center"/>
    </w:pPr>
    <w:rPr>
      <w:rFonts w:cs="Arial"/>
      <w:b/>
      <w:bCs/>
      <w:sz w:val="24"/>
      <w:lang w:val="ru-RU" w:eastAsia="ru-RU" w:bidi="ar-SA"/>
    </w:rPr>
  </w:style>
  <w:style w:type="paragraph" w:styleId="Xl151" w:customStyle="1">
    <w:name w:val="xl151"/>
    <w:basedOn w:val="Normal"/>
    <w:qFormat/>
    <w:rsid w:val="00077cba"/>
    <w:pPr>
      <w:pBdr>
        <w:top w:val="single" w:sz="4" w:space="0" w:color="00000A"/>
        <w:left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52" w:customStyle="1">
    <w:name w:val="xl152"/>
    <w:basedOn w:val="Normal"/>
    <w:qFormat/>
    <w:rsid w:val="00077cba"/>
    <w:pPr>
      <w:pBdr>
        <w:left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Xl153" w:customStyle="1">
    <w:name w:val="xl153"/>
    <w:basedOn w:val="Normal"/>
    <w:qFormat/>
    <w:rsid w:val="00077cba"/>
    <w:pPr>
      <w:pBdr>
        <w:left w:val="single" w:sz="4" w:space="0" w:color="00000A"/>
        <w:bottom w:val="single" w:sz="4" w:space="0" w:color="00000A"/>
        <w:right w:val="single" w:sz="4" w:space="0" w:color="00000A"/>
      </w:pBdr>
      <w:spacing w:beforeAutospacing="1" w:afterAutospacing="1"/>
      <w:ind w:hanging="0"/>
      <w:jc w:val="center"/>
      <w:textAlignment w:val="center"/>
    </w:pPr>
    <w:rPr>
      <w:rFonts w:cs="Arial"/>
      <w:b/>
      <w:bCs/>
      <w:sz w:val="24"/>
      <w:lang w:val="ru-RU" w:eastAsia="ru-RU" w:bidi="ar-SA"/>
    </w:rPr>
  </w:style>
  <w:style w:type="paragraph" w:styleId="120" w:customStyle="1">
    <w:name w:val="Стиль1"/>
    <w:basedOn w:val="1110"/>
    <w:qFormat/>
    <w:rsid w:val="00077cba"/>
    <w:pPr/>
    <w:rPr/>
  </w:style>
  <w:style w:type="numbering" w:styleId="NoList" w:default="1">
    <w:name w:val="No List"/>
    <w:uiPriority w:val="99"/>
    <w:semiHidden/>
    <w:unhideWhenUsed/>
  </w:style>
  <w:style w:type="numbering" w:styleId="OutlineList2">
    <w:name w:val="Outline List 2"/>
    <w:rsid w:val="00f62b2a"/>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table" w:styleId="afffff3">
    <w:name w:val="Table Grid"/>
    <w:basedOn w:val="a2"/>
    <w:rsid w:val="00f62b2a"/>
    <w:pPr>
      <w:spacing w:line="240" w:lineRule="auto"/>
    </w:pPr>
    <w:rPr>
      <w:lang w:eastAsia="ru-RU"/>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f2">
    <w:name w:val="Сетка таблицы1"/>
    <w:basedOn w:val="a2"/>
    <w:uiPriority w:val="39"/>
    <w:rsid w:val="00f255e3"/>
    <w:pPr>
      <w:spacing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jpeg"/><Relationship Id="rId17" Type="http://schemas.openxmlformats.org/officeDocument/2006/relationships/image" Target="media/image14.pn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png"/><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footer" Target="footer5.xml"/><Relationship Id="rId25" Type="http://schemas.openxmlformats.org/officeDocument/2006/relationships/footer" Target="footer6.xml"/><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footer" Target="footer10.xml"/><Relationship Id="rId30" Type="http://schemas.openxmlformats.org/officeDocument/2006/relationships/footer" Target="footer11.xml"/><Relationship Id="rId31" Type="http://schemas.openxmlformats.org/officeDocument/2006/relationships/footer" Target="footer12.xml"/><Relationship Id="rId32" Type="http://schemas.openxmlformats.org/officeDocument/2006/relationships/chart" Target="charts/chart1.xml"/><Relationship Id="rId33" Type="http://schemas.openxmlformats.org/officeDocument/2006/relationships/footer" Target="footer13.xml"/><Relationship Id="rId34" Type="http://schemas.openxmlformats.org/officeDocument/2006/relationships/image" Target="media/image19.png"/><Relationship Id="rId35" Type="http://schemas.openxmlformats.org/officeDocument/2006/relationships/footer" Target="footer14.xml"/><Relationship Id="rId36" Type="http://schemas.openxmlformats.org/officeDocument/2006/relationships/comments" Target="comments.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_____Microsoft_Office_Excel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1800" spc="-1" strike="noStrike">
                <a:solidFill>
                  <a:srgbClr val="000000"/>
                </a:solidFill>
                <a:uFill>
                  <a:solidFill>
                    <a:srgbClr val="ffffff"/>
                  </a:solidFill>
                </a:uFill>
                <a:latin typeface="Calibri"/>
              </a:defRPr>
            </a:pPr>
            <a:r>
              <a:rPr b="1" sz="1800" spc="-1" strike="noStrike">
                <a:solidFill>
                  <a:srgbClr val="000000"/>
                </a:solidFill>
                <a:uFill>
                  <a:solidFill>
                    <a:srgbClr val="ffffff"/>
                  </a:solidFill>
                </a:uFill>
                <a:latin typeface="Calibri"/>
              </a:rPr>
              <a:t>Тепловая нагрузка потребителей, Гкал/ч</a:t>
            </a:r>
          </a:p>
        </c:rich>
      </c:tx>
      <c:overlay val="0"/>
    </c:title>
    <c:autoTitleDeleted val="0"/>
    <c:plotArea>
      <c:pieChart>
        <c:varyColors val="1"/>
        <c:ser>
          <c:idx val="0"/>
          <c:order val="0"/>
          <c:tx>
            <c:strRef>
              <c:f>label 0</c:f>
              <c:strCache>
                <c:ptCount val="1"/>
                <c:pt idx="0">
                  <c:v>Тепловая нагрузка потребителей, Гкал/ч</c:v>
                </c:pt>
              </c:strCache>
            </c:strRef>
          </c:tx>
          <c:spPr>
            <a:solidFill>
              <a:srgbClr val="5b9bd5"/>
            </a:solidFill>
            <a:ln>
              <a:noFill/>
            </a:ln>
          </c:spPr>
          <c:explosion val="0"/>
          <c:dPt>
            <c:idx val="0"/>
            <c:spPr>
              <a:solidFill>
                <a:srgbClr val="518abd"/>
              </a:solidFill>
              <a:ln>
                <a:noFill/>
              </a:ln>
            </c:spPr>
          </c:dPt>
          <c:dPt>
            <c:idx val="1"/>
            <c:spPr>
              <a:solidFill>
                <a:srgbClr val="d36f2b"/>
              </a:solidFill>
              <a:ln>
                <a:noFill/>
              </a:ln>
            </c:spPr>
          </c:dPt>
          <c:dPt>
            <c:idx val="2"/>
            <c:spPr>
              <a:solidFill>
                <a:srgbClr val="929292"/>
              </a:solidFill>
              <a:ln>
                <a:noFill/>
              </a:ln>
            </c:spPr>
          </c:dPt>
          <c:dPt>
            <c:idx val="3"/>
            <c:spPr>
              <a:solidFill>
                <a:srgbClr val="e3ab00"/>
              </a:solidFill>
              <a:ln>
                <a:noFill/>
              </a:ln>
            </c:spPr>
          </c:dPt>
          <c:dPt>
            <c:idx val="4"/>
            <c:spPr>
              <a:solidFill>
                <a:srgbClr val="3c65ae"/>
              </a:solidFill>
              <a:ln>
                <a:noFill/>
              </a:ln>
            </c:spPr>
          </c:dPt>
          <c:dPt>
            <c:idx val="5"/>
            <c:spPr>
              <a:solidFill>
                <a:srgbClr val="639a3f"/>
              </a:solidFill>
              <a:ln>
                <a:noFill/>
              </a:ln>
            </c:spPr>
          </c:dPt>
          <c:dPt>
            <c:idx val="6"/>
            <c:spPr>
              <a:solidFill>
                <a:srgbClr val="98b8df"/>
              </a:solidFill>
              <a:ln>
                <a:noFill/>
              </a:ln>
            </c:spPr>
          </c:dPt>
          <c:dPt>
            <c:idx val="7"/>
            <c:spPr>
              <a:solidFill>
                <a:srgbClr val="f1a78b"/>
              </a:solidFill>
              <a:ln>
                <a:noFill/>
              </a:ln>
            </c:spPr>
          </c:dPt>
          <c:dPt>
            <c:idx val="8"/>
            <c:spPr>
              <a:solidFill>
                <a:srgbClr val="bfbfbf"/>
              </a:solidFill>
              <a:ln>
                <a:noFill/>
              </a:ln>
            </c:spPr>
          </c:dPt>
          <c:dPt>
            <c:idx val="9"/>
            <c:spPr>
              <a:solidFill>
                <a:srgbClr val="ffd087"/>
              </a:solidFill>
              <a:ln>
                <a:noFill/>
              </a:ln>
            </c:spPr>
          </c:dPt>
          <c:dLbls>
            <c:dLbl>
              <c:idx val="0"/>
              <c:dLblPos val="bestFit"/>
              <c:showLegendKey val="0"/>
              <c:showVal val="0"/>
              <c:showCatName val="0"/>
              <c:showSerName val="0"/>
              <c:showPercent val="1"/>
            </c:dLbl>
            <c:dLbl>
              <c:idx val="1"/>
              <c:dLblPos val="bestFit"/>
              <c:showLegendKey val="0"/>
              <c:showVal val="0"/>
              <c:showCatName val="0"/>
              <c:showSerName val="0"/>
              <c:showPercent val="1"/>
            </c:dLbl>
            <c:dLbl>
              <c:idx val="2"/>
              <c:dLblPos val="bestFit"/>
              <c:showLegendKey val="0"/>
              <c:showVal val="0"/>
              <c:showCatName val="0"/>
              <c:showSerName val="0"/>
              <c:showPercent val="1"/>
            </c:dLbl>
            <c:dLbl>
              <c:idx val="3"/>
              <c:dLblPos val="bestFit"/>
              <c:showLegendKey val="0"/>
              <c:showVal val="0"/>
              <c:showCatName val="0"/>
              <c:showSerName val="0"/>
              <c:showPercent val="1"/>
            </c:dLbl>
            <c:dLbl>
              <c:idx val="4"/>
              <c:dLblPos val="bestFit"/>
              <c:showLegendKey val="0"/>
              <c:showVal val="0"/>
              <c:showCatName val="0"/>
              <c:showSerName val="0"/>
              <c:showPercent val="1"/>
            </c:dLbl>
            <c:dLbl>
              <c:idx val="5"/>
              <c:dLblPos val="bestFit"/>
              <c:showLegendKey val="0"/>
              <c:showVal val="0"/>
              <c:showCatName val="0"/>
              <c:showSerName val="0"/>
              <c:showPercent val="1"/>
            </c:dLbl>
            <c:dLbl>
              <c:idx val="6"/>
              <c:dLblPos val="bestFit"/>
              <c:showLegendKey val="0"/>
              <c:showVal val="0"/>
              <c:showCatName val="0"/>
              <c:showSerName val="0"/>
              <c:showPercent val="1"/>
            </c:dLbl>
            <c:dLbl>
              <c:idx val="7"/>
              <c:dLblPos val="bestFit"/>
              <c:showLegendKey val="0"/>
              <c:showVal val="0"/>
              <c:showCatName val="0"/>
              <c:showSerName val="0"/>
              <c:showPercent val="1"/>
            </c:dLbl>
            <c:dLbl>
              <c:idx val="8"/>
              <c:dLblPos val="bestFit"/>
              <c:showLegendKey val="0"/>
              <c:showVal val="0"/>
              <c:showCatName val="0"/>
              <c:showSerName val="0"/>
              <c:showPercent val="1"/>
            </c:dLbl>
            <c:dLbl>
              <c:idx val="9"/>
              <c:dLblPos val="bestFit"/>
              <c:showLegendKey val="0"/>
              <c:showVal val="0"/>
              <c:showCatName val="0"/>
              <c:showSerName val="0"/>
              <c:showPercent val="1"/>
            </c:dLbl>
            <c:dLblPos val="bestFit"/>
            <c:showLegendKey val="0"/>
            <c:showVal val="0"/>
            <c:showCatName val="0"/>
            <c:showSerName val="0"/>
            <c:showPercent val="1"/>
            <c:showLeaderLines val="0"/>
          </c:dLbls>
          <c:cat>
            <c:strRef>
              <c:f>categories</c:f>
              <c:strCache>
                <c:ptCount val="10"/>
                <c:pt idx="0">
                  <c:v>Центральная котельная №1</c:v>
                </c:pt>
                <c:pt idx="1">
                  <c:v>Котельная №2</c:v>
                </c:pt>
                <c:pt idx="2">
                  <c:v>Котельная №4</c:v>
                </c:pt>
                <c:pt idx="3">
                  <c:v>Котельная №5</c:v>
                </c:pt>
                <c:pt idx="4">
                  <c:v>Котельная №6</c:v>
                </c:pt>
                <c:pt idx="5">
                  <c:v>Котельная №7</c:v>
                </c:pt>
                <c:pt idx="6">
                  <c:v>Котельная ООО </c:v>
                </c:pt>
                <c:pt idx="7">
                  <c:v>"</c:v>
                </c:pt>
                <c:pt idx="8">
                  <c:v/>
                </c:pt>
                <c:pt idx="9">
                  <c:v>Котельная блочная 0,6 МВт «Больница»</c:v>
                </c:pt>
              </c:strCache>
            </c:strRef>
          </c:cat>
          <c:val>
            <c:numRef>
              <c:f>0</c:f>
              <c:numCache>
                <c:formatCode>General</c:formatCode>
                <c:ptCount val="10"/>
                <c:pt idx="0">
                  <c:v>5.45</c:v>
                </c:pt>
                <c:pt idx="1">
                  <c:v>0.06</c:v>
                </c:pt>
                <c:pt idx="2">
                  <c:v>0.1</c:v>
                </c:pt>
                <c:pt idx="3">
                  <c:v>1.59</c:v>
                </c:pt>
                <c:pt idx="4">
                  <c:v>0.45</c:v>
                </c:pt>
                <c:pt idx="5">
                  <c:v>0.04</c:v>
                </c:pt>
                <c:pt idx="6">
                  <c:v>0.38</c:v>
                </c:pt>
                <c:pt idx="7">
                  <c:v>0.515</c:v>
                </c:pt>
                <c:pt idx="8">
                  <c:v/>
                </c:pt>
                <c:pt idx="9">
                  <c:v/>
                </c:pt>
              </c:numCache>
            </c:numRef>
          </c:val>
        </c:ser>
        <c:firstSliceAng val="0"/>
      </c:pieChart>
      <c:spPr>
        <a:solidFill>
          <a:srgbClr val="ffffff"/>
        </a:solidFill>
        <a:ln>
          <a:noFill/>
        </a:ln>
      </c:spPr>
    </c:plotArea>
    <c:legend>
      <c:legendPos val="r"/>
      <c:overlay val="0"/>
      <c:spPr>
        <a:noFill/>
        <a:ln>
          <a:noFill/>
        </a:ln>
      </c:spPr>
    </c:legend>
    <c:plotVisOnly val="1"/>
    <c:dispBlanksAs val="zero"/>
  </c:chart>
  <c:spPr>
    <a:solidFill>
      <a:srgbClr val="ffffff"/>
    </a:solid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9A4DA-993A-45D7-A2A4-6B812A5D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Application>LibreOffice/5.1.1.3$Windows_x86 LibreOffice_project/89f508ef3ecebd2cfb8e1def0f0ba9a803b88a6d</Application>
  <Pages>68</Pages>
  <Words>11474</Words>
  <Characters>75592</Characters>
  <CharactersWithSpaces>84703</CharactersWithSpaces>
  <Paragraphs>2860</Paragraphs>
  <Company>diakov.net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2017-11-23T11:36:00Z</dcterms:created>
  <dc:creator>RePack by Diakov</dc:creator>
  <dc:description/>
  <dc:language>ru-RU</dc:language>
  <cp:lastModifiedBy/>
  <cp:lastPrinted>2017-12-08T11:24:00Z</cp:lastPrinted>
  <dcterms:modified xsi:type="dcterms:W3CDTF">2017-12-10T21:08:46Z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